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55DB6" w:rsidRDefault="00284C67">
      <w:r w:rsidRPr="00284C67">
        <w:rPr>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59.6pt;margin-top:-39.25pt;width:497.7pt;height:590.85pt;z-index:-251640320;visibility:visible;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" fillcolor="#d8d8d8 [2732]" stroked="f">
            <v:textbox>
              <w:txbxContent>
                <w:p w:rsidR="00C67FAB" w:rsidRPr="004201A2" w:rsidRDefault="00C67FAB" w:rsidP="004201A2">
                  <w:pPr>
                    <w:spacing w:after="0" w:line="240" w:lineRule="auto"/>
                    <w:jc w:val="right"/>
                    <w:rPr>
                      <w:sz w:val="96"/>
                      <w:szCs w:val="130"/>
                    </w:rPr>
                  </w:pPr>
                  <w:r w:rsidRPr="004201A2">
                    <w:rPr>
                      <w:sz w:val="96"/>
                      <w:szCs w:val="130"/>
                    </w:rPr>
                    <w:t>VALLEY COUNTY</w:t>
                  </w:r>
                </w:p>
                <w:p w:rsidR="00C67FAB" w:rsidRPr="004201A2" w:rsidRDefault="00C67FAB" w:rsidP="004201A2">
                  <w:pPr>
                    <w:spacing w:after="0" w:line="240" w:lineRule="auto"/>
                    <w:jc w:val="right"/>
                    <w:rPr>
                      <w:sz w:val="72"/>
                      <w:szCs w:val="120"/>
                    </w:rPr>
                  </w:pPr>
                  <w:r w:rsidRPr="004201A2">
                    <w:rPr>
                      <w:sz w:val="72"/>
                      <w:szCs w:val="120"/>
                    </w:rPr>
                    <w:t>Community Health</w:t>
                  </w:r>
                </w:p>
                <w:p w:rsidR="00C67FAB" w:rsidRPr="004201A2" w:rsidRDefault="00C67FAB" w:rsidP="004201A2">
                  <w:pPr>
                    <w:spacing w:after="0" w:line="240" w:lineRule="auto"/>
                    <w:jc w:val="right"/>
                    <w:rPr>
                      <w:sz w:val="72"/>
                      <w:szCs w:val="120"/>
                    </w:rPr>
                  </w:pPr>
                  <w:r w:rsidRPr="004201A2">
                    <w:rPr>
                      <w:sz w:val="72"/>
                      <w:szCs w:val="120"/>
                    </w:rPr>
                    <w:t>Assessment</w:t>
                  </w:r>
                </w:p>
                <w:p w:rsidR="00C67FAB" w:rsidRDefault="00C67FAB"/>
              </w:txbxContent>
            </v:textbox>
            <w10:wrap anchorx="margin"/>
          </v:shape>
        </w:pict>
      </w:r>
      <w:r w:rsidRPr="00284C67">
        <w:rPr>
          <w:b/>
          <w:noProof/>
          <w:sz w:val="24"/>
          <w:szCs w:val="24"/>
        </w:rPr>
        <w:pict>
          <v:shape id="_x0000_s1027" type="#_x0000_t202" style="position:absolute;margin-left:446.9pt;margin-top:-39.25pt;width:83.15pt;height:590.8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" fillcolor="#267b1f" stroked="f">
            <v:textbox>
              <w:txbxContent>
                <w:p w:rsidR="00C67FAB" w:rsidRPr="00C833C2" w:rsidRDefault="00C67FAB" w:rsidP="00C833C2">
                  <w:pPr>
                    <w:spacing w:line="240" w:lineRule="auto"/>
                    <w:rPr>
                      <w:b/>
                      <w:color w:val="FFFFFF" w:themeColor="background1"/>
                      <w:sz w:val="52"/>
                    </w:rPr>
                  </w:pPr>
                </w:p>
              </w:txbxContent>
            </v:textbox>
          </v:shape>
        </w:pict>
      </w:r>
    </w:p>
    <w:p w:rsidR="00A55DB6" w:rsidRDefault="0012056D" w:rsidP="00A55DB6">
      <w:pPr>
        <w:jc w:val="center"/>
        <w:rPr>
          <w:sz w:val="96"/>
          <w:szCs w:val="96"/>
        </w:rPr>
      </w:pPr>
      <w:r>
        <w:rPr>
          <w:b/>
          <w:noProof/>
          <w:sz w:val="24"/>
          <w:szCs w:val="24"/>
        </w:rPr>
        <w:drawing>
          <wp:anchor distT="0" distB="0" distL="114300" distR="114300" simplePos="0" relativeHeight="251671040" behindDoc="0" locked="0" layoutInCell="1" allowOverlap="1">
            <wp:simplePos x="0" y="0"/>
            <wp:positionH relativeFrom="margin">
              <wp:posOffset>1385570</wp:posOffset>
            </wp:positionH>
            <wp:positionV relativeFrom="paragraph">
              <wp:posOffset>414655</wp:posOffset>
            </wp:positionV>
            <wp:extent cx="2821940" cy="3145155"/>
            <wp:effectExtent l="152400" t="152400" r="226060" b="2330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ley CARE Coalition 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40" cy="31451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284C67" w:rsidRPr="00284C67">
        <w:rPr>
          <w:b/>
          <w:noProof/>
          <w:sz w:val="24"/>
          <w:szCs w:val="24"/>
        </w:rPr>
        <w:pict>
          <v:shape id="Text Box 20" o:spid="_x0000_s1028" type="#_x0000_t202" style="position:absolute;left:0;text-align:left;margin-left:475.45pt;margin-top:19.7pt;width:37.2pt;height:372.4pt;z-index:251687424;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" filled="f" stroked="f" strokeweight=".5pt">
            <v:textbox>
              <w:txbxContent>
                <w:p w:rsidR="00C67FAB" w:rsidRPr="00C833C2" w:rsidRDefault="00C67FAB" w:rsidP="00FD1F96">
                  <w:pPr>
                    <w:spacing w:line="240" w:lineRule="auto"/>
                    <w:rPr>
                      <w:b/>
                      <w:color w:val="FFFFFF" w:themeColor="background1"/>
                      <w:sz w:val="52"/>
                    </w:rPr>
                  </w:pPr>
                  <w:r w:rsidRPr="00C833C2">
                    <w:rPr>
                      <w:b/>
                      <w:color w:val="FFFFFF" w:themeColor="background1"/>
                      <w:sz w:val="52"/>
                    </w:rPr>
                    <w:t>2</w:t>
                  </w:r>
                </w:p>
                <w:p w:rsidR="00C67FAB" w:rsidRPr="00C833C2" w:rsidRDefault="00C67FAB" w:rsidP="00FD1F96">
                  <w:pPr>
                    <w:spacing w:line="240" w:lineRule="auto"/>
                    <w:rPr>
                      <w:b/>
                      <w:color w:val="FFFFFF" w:themeColor="background1"/>
                      <w:sz w:val="52"/>
                    </w:rPr>
                  </w:pPr>
                  <w:r w:rsidRPr="00C833C2">
                    <w:rPr>
                      <w:b/>
                      <w:color w:val="FFFFFF" w:themeColor="background1"/>
                      <w:sz w:val="52"/>
                    </w:rPr>
                    <w:t>0</w:t>
                  </w:r>
                </w:p>
                <w:p w:rsidR="00C67FAB" w:rsidRPr="00C833C2" w:rsidRDefault="00C67FAB" w:rsidP="00FD1F96">
                  <w:pPr>
                    <w:spacing w:line="240" w:lineRule="auto"/>
                    <w:rPr>
                      <w:b/>
                      <w:color w:val="FFFFFF" w:themeColor="background1"/>
                      <w:sz w:val="52"/>
                    </w:rPr>
                  </w:pPr>
                  <w:r w:rsidRPr="00C833C2">
                    <w:rPr>
                      <w:b/>
                      <w:color w:val="FFFFFF" w:themeColor="background1"/>
                      <w:sz w:val="52"/>
                    </w:rPr>
                    <w:t>1</w:t>
                  </w:r>
                </w:p>
                <w:p w:rsidR="00C67FAB" w:rsidRPr="00C833C2" w:rsidRDefault="00C67FAB" w:rsidP="00FD1F96">
                  <w:pPr>
                    <w:spacing w:line="240" w:lineRule="auto"/>
                    <w:rPr>
                      <w:b/>
                      <w:color w:val="FFFFFF" w:themeColor="background1"/>
                      <w:sz w:val="52"/>
                    </w:rPr>
                  </w:pPr>
                  <w:r w:rsidRPr="00C833C2">
                    <w:rPr>
                      <w:b/>
                      <w:color w:val="FFFFFF" w:themeColor="background1"/>
                      <w:sz w:val="52"/>
                    </w:rPr>
                    <w:t>7</w:t>
                  </w:r>
                </w:p>
                <w:p w:rsidR="00C67FAB" w:rsidRPr="00C833C2" w:rsidRDefault="00C67FAB" w:rsidP="00FD1F96">
                  <w:pPr>
                    <w:spacing w:line="240" w:lineRule="auto"/>
                    <w:rPr>
                      <w:b/>
                      <w:color w:val="FFFFFF" w:themeColor="background1"/>
                      <w:sz w:val="52"/>
                    </w:rPr>
                  </w:pPr>
                  <w:r w:rsidRPr="00C833C2">
                    <w:rPr>
                      <w:b/>
                      <w:color w:val="FFFFFF" w:themeColor="background1"/>
                      <w:sz w:val="52"/>
                    </w:rPr>
                    <w:t>-</w:t>
                  </w:r>
                </w:p>
                <w:p w:rsidR="00C67FAB" w:rsidRPr="00C833C2" w:rsidRDefault="00C67FAB" w:rsidP="00FD1F96">
                  <w:pPr>
                    <w:spacing w:line="240" w:lineRule="auto"/>
                    <w:rPr>
                      <w:b/>
                      <w:color w:val="FFFFFF" w:themeColor="background1"/>
                      <w:sz w:val="52"/>
                    </w:rPr>
                  </w:pPr>
                  <w:r w:rsidRPr="00C833C2">
                    <w:rPr>
                      <w:b/>
                      <w:color w:val="FFFFFF" w:themeColor="background1"/>
                      <w:sz w:val="52"/>
                    </w:rPr>
                    <w:t>2</w:t>
                  </w:r>
                </w:p>
                <w:p w:rsidR="00C67FAB" w:rsidRPr="00C833C2" w:rsidRDefault="00C67FAB" w:rsidP="00FD1F96">
                  <w:pPr>
                    <w:spacing w:line="240" w:lineRule="auto"/>
                    <w:rPr>
                      <w:b/>
                      <w:color w:val="FFFFFF" w:themeColor="background1"/>
                      <w:sz w:val="52"/>
                    </w:rPr>
                  </w:pPr>
                  <w:r w:rsidRPr="00C833C2">
                    <w:rPr>
                      <w:b/>
                      <w:color w:val="FFFFFF" w:themeColor="background1"/>
                      <w:sz w:val="52"/>
                    </w:rPr>
                    <w:t>0</w:t>
                  </w:r>
                </w:p>
                <w:p w:rsidR="00C67FAB" w:rsidRPr="00C833C2" w:rsidRDefault="00C67FAB" w:rsidP="00FD1F96">
                  <w:pPr>
                    <w:spacing w:line="240" w:lineRule="auto"/>
                    <w:rPr>
                      <w:b/>
                      <w:color w:val="FFFFFF" w:themeColor="background1"/>
                      <w:sz w:val="52"/>
                    </w:rPr>
                  </w:pPr>
                  <w:r w:rsidRPr="00C833C2">
                    <w:rPr>
                      <w:b/>
                      <w:color w:val="FFFFFF" w:themeColor="background1"/>
                      <w:sz w:val="52"/>
                    </w:rPr>
                    <w:t>2</w:t>
                  </w:r>
                </w:p>
                <w:p w:rsidR="00C67FAB" w:rsidRPr="00C833C2" w:rsidRDefault="00C67FAB" w:rsidP="00FD1F96">
                  <w:pPr>
                    <w:spacing w:line="240" w:lineRule="auto"/>
                    <w:rPr>
                      <w:b/>
                      <w:color w:val="FFFFFF" w:themeColor="background1"/>
                      <w:sz w:val="52"/>
                    </w:rPr>
                  </w:pPr>
                  <w:r w:rsidRPr="00C833C2">
                    <w:rPr>
                      <w:b/>
                      <w:color w:val="FFFFFF" w:themeColor="background1"/>
                      <w:sz w:val="52"/>
                    </w:rPr>
                    <w:t>2</w:t>
                  </w:r>
                </w:p>
                <w:p w:rsidR="00C67FAB" w:rsidRDefault="00C67FAB"/>
              </w:txbxContent>
            </v:textbox>
            <w10:wrap anchorx="margin"/>
          </v:shape>
        </w:pict>
      </w:r>
    </w:p>
    <w:p w:rsidR="00A55DB6" w:rsidRDefault="00A55DB6" w:rsidP="00A55DB6">
      <w:pPr>
        <w:jc w:val="center"/>
        <w:rPr>
          <w:sz w:val="24"/>
          <w:szCs w:val="24"/>
        </w:rPr>
      </w:pPr>
    </w:p>
    <w:p w:rsidR="00A55DB6" w:rsidRDefault="00A55DB6" w:rsidP="00A55DB6">
      <w:pPr>
        <w:jc w:val="center"/>
        <w:rPr>
          <w:sz w:val="24"/>
          <w:szCs w:val="24"/>
        </w:rPr>
      </w:pPr>
    </w:p>
    <w:p w:rsidR="00A55DB6" w:rsidRDefault="00A55DB6" w:rsidP="00A55DB6">
      <w:pPr>
        <w:jc w:val="center"/>
        <w:rPr>
          <w:sz w:val="24"/>
          <w:szCs w:val="24"/>
        </w:rPr>
      </w:pPr>
    </w:p>
    <w:p w:rsidR="00A55DB6" w:rsidRPr="00380790" w:rsidRDefault="00A55DB6" w:rsidP="00A55DB6">
      <w:pPr>
        <w:jc w:val="center"/>
        <w:rPr>
          <w:sz w:val="24"/>
          <w:szCs w:val="24"/>
        </w:rPr>
      </w:pPr>
    </w:p>
    <w:p w:rsidR="00CC4033" w:rsidRDefault="00CC4033" w:rsidP="00A55DB6">
      <w:pPr>
        <w:jc w:val="center"/>
        <w:rPr>
          <w:sz w:val="72"/>
          <w:szCs w:val="72"/>
        </w:rPr>
      </w:pPr>
    </w:p>
    <w:p w:rsidR="00CC4033" w:rsidRDefault="00CC4033" w:rsidP="00A55DB6">
      <w:pPr>
        <w:jc w:val="center"/>
        <w:rPr>
          <w:sz w:val="72"/>
          <w:szCs w:val="72"/>
        </w:rPr>
      </w:pPr>
    </w:p>
    <w:p w:rsidR="00CC4033" w:rsidRDefault="00CC4033" w:rsidP="00A55DB6">
      <w:pPr>
        <w:jc w:val="center"/>
        <w:rPr>
          <w:sz w:val="72"/>
          <w:szCs w:val="72"/>
        </w:rPr>
      </w:pPr>
    </w:p>
    <w:p w:rsidR="00CC4033" w:rsidRDefault="00CC4033" w:rsidP="00A55DB6">
      <w:pPr>
        <w:jc w:val="center"/>
        <w:rPr>
          <w:sz w:val="72"/>
          <w:szCs w:val="72"/>
        </w:rPr>
      </w:pPr>
    </w:p>
    <w:p w:rsidR="00A55DB6" w:rsidRDefault="00A55DB6" w:rsidP="00A55DB6">
      <w:pPr>
        <w:rPr>
          <w:b/>
          <w:sz w:val="24"/>
          <w:szCs w:val="24"/>
        </w:rPr>
      </w:pPr>
      <w:r>
        <w:rPr>
          <w:b/>
          <w:sz w:val="24"/>
          <w:szCs w:val="24"/>
        </w:rPr>
        <w:t xml:space="preserve">                                </w:t>
      </w:r>
    </w:p>
    <w:p w:rsidR="00A55DB6" w:rsidRDefault="00A55DB6" w:rsidP="00A55DB6">
      <w:pPr>
        <w:rPr>
          <w:b/>
          <w:sz w:val="24"/>
          <w:szCs w:val="24"/>
        </w:rPr>
      </w:pPr>
    </w:p>
    <w:p w:rsidR="00CC4033" w:rsidRDefault="00CC4033" w:rsidP="00A55DB6">
      <w:pPr>
        <w:rPr>
          <w:b/>
          <w:sz w:val="24"/>
          <w:szCs w:val="24"/>
        </w:rPr>
      </w:pPr>
    </w:p>
    <w:p w:rsidR="00A55DB6" w:rsidRDefault="00A55DB6" w:rsidP="00A55DB6">
      <w:pPr>
        <w:rPr>
          <w:b/>
          <w:sz w:val="24"/>
          <w:szCs w:val="24"/>
        </w:rPr>
      </w:pPr>
    </w:p>
    <w:p w:rsidR="00A55DB6" w:rsidRDefault="004201A2" w:rsidP="00A55DB6">
      <w:pPr>
        <w:jc w:val="right"/>
        <w:rPr>
          <w:sz w:val="24"/>
          <w:szCs w:val="24"/>
        </w:rPr>
      </w:pPr>
      <w:r>
        <w:rPr>
          <w:b/>
          <w:noProof/>
          <w:sz w:val="24"/>
          <w:szCs w:val="24"/>
        </w:rPr>
        <w:drawing>
          <wp:anchor distT="0" distB="0" distL="114300" distR="114300" simplePos="0" relativeHeight="251674112" behindDoc="0" locked="0" layoutInCell="1" allowOverlap="1">
            <wp:simplePos x="5638800" y="7953375"/>
            <wp:positionH relativeFrom="margin">
              <wp:align>right</wp:align>
            </wp:positionH>
            <wp:positionV relativeFrom="margin">
              <wp:align>bottom</wp:align>
            </wp:positionV>
            <wp:extent cx="1497330" cy="139065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n Montana Mental Health.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58" r="12424"/>
                    <a:stretch/>
                  </pic:blipFill>
                  <pic:spPr bwMode="auto">
                    <a:xfrm>
                      <a:off x="0" y="0"/>
                      <a:ext cx="1497330" cy="1390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noProof/>
          <w:sz w:val="24"/>
          <w:szCs w:val="24"/>
        </w:rPr>
        <w:drawing>
          <wp:anchor distT="0" distB="0" distL="114300" distR="114300" simplePos="0" relativeHeight="251677184" behindDoc="0" locked="0" layoutInCell="1" allowOverlap="1">
            <wp:simplePos x="1352550" y="8067675"/>
            <wp:positionH relativeFrom="margin">
              <wp:align>left</wp:align>
            </wp:positionH>
            <wp:positionV relativeFrom="margin">
              <wp:align>bottom</wp:align>
            </wp:positionV>
            <wp:extent cx="1402715" cy="1373505"/>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Log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2715" cy="1373505"/>
                    </a:xfrm>
                    <a:prstGeom prst="rect">
                      <a:avLst/>
                    </a:prstGeom>
                  </pic:spPr>
                </pic:pic>
              </a:graphicData>
            </a:graphic>
          </wp:anchor>
        </w:drawing>
      </w:r>
    </w:p>
    <w:p w:rsidR="00A55DB6" w:rsidRDefault="004201A2" w:rsidP="00A55DB6">
      <w:pPr>
        <w:jc w:val="right"/>
        <w:rPr>
          <w:sz w:val="24"/>
          <w:szCs w:val="24"/>
        </w:rPr>
      </w:pPr>
      <w:r>
        <w:rPr>
          <w:b/>
          <w:noProof/>
          <w:sz w:val="24"/>
          <w:szCs w:val="24"/>
        </w:rPr>
        <w:drawing>
          <wp:anchor distT="0" distB="0" distL="114300" distR="114300" simplePos="0" relativeHeight="251672064" behindDoc="0" locked="0" layoutInCell="1" allowOverlap="1">
            <wp:simplePos x="3267075" y="8305800"/>
            <wp:positionH relativeFrom="margin">
              <wp:align>center</wp:align>
            </wp:positionH>
            <wp:positionV relativeFrom="margin">
              <wp:align>bottom</wp:align>
            </wp:positionV>
            <wp:extent cx="1861185" cy="1040130"/>
            <wp:effectExtent l="0" t="0" r="571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mdh logo.gi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185" cy="1040130"/>
                    </a:xfrm>
                    <a:prstGeom prst="rect">
                      <a:avLst/>
                    </a:prstGeom>
                  </pic:spPr>
                </pic:pic>
              </a:graphicData>
            </a:graphic>
          </wp:anchor>
        </w:drawing>
      </w:r>
    </w:p>
    <w:p w:rsidR="00A55DB6" w:rsidRDefault="00A55DB6" w:rsidP="00A55DB6">
      <w:pPr>
        <w:jc w:val="right"/>
        <w:rPr>
          <w:sz w:val="24"/>
          <w:szCs w:val="24"/>
        </w:rPr>
      </w:pPr>
    </w:p>
    <w:p w:rsidR="00A55DB6" w:rsidRDefault="00284C67" w:rsidP="00A55DB6">
      <w:pPr>
        <w:rPr>
          <w:sz w:val="24"/>
          <w:szCs w:val="24"/>
        </w:rPr>
      </w:pPr>
      <w:r>
        <w:rPr>
          <w:noProof/>
          <w:sz w:val="24"/>
          <w:szCs w:val="24"/>
        </w:rPr>
        <w:pict>
          <v:rect id="Rectangle 13" o:spid="_x0000_s1033" style="position:absolute;margin-left:461.25pt;margin-top:32.5pt;width:75pt;height:81.7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" fillcolor="white [3212]" stroked="f" strokeweight="1pt"/>
        </w:pict>
      </w:r>
    </w:p>
    <w:p w:rsidR="00A55DB6" w:rsidRDefault="00A55DB6" w:rsidP="00270565">
      <w:pPr>
        <w:pStyle w:val="Title"/>
      </w:pPr>
      <w:r>
        <w:lastRenderedPageBreak/>
        <w:t>Acknowledgement</w:t>
      </w:r>
    </w:p>
    <w:p w:rsidR="00A55DB6" w:rsidRDefault="00A55DB6" w:rsidP="00A55DB6">
      <w:r>
        <w:t>The Valley County Health Department and Valley CARE Coalition thanks the following partners for their active participation in the development of this assessment.  These same partners will be essential to achieve a healthier Valley County.</w:t>
      </w:r>
    </w:p>
    <w:p w:rsidR="00A55DB6" w:rsidRDefault="00A55DB6" w:rsidP="00A55DB6"/>
    <w:p w:rsidR="00A55DB6" w:rsidRDefault="00A55DB6" w:rsidP="00A55DB6"/>
    <w:p w:rsidR="00A55DB6" w:rsidRDefault="00A55DB6" w:rsidP="00A55DB6">
      <w:pPr>
        <w:pStyle w:val="ListParagraph"/>
        <w:numPr>
          <w:ilvl w:val="0"/>
          <w:numId w:val="21"/>
        </w:numPr>
        <w:spacing w:before="120" w:line="264" w:lineRule="auto"/>
      </w:pPr>
      <w:r>
        <w:t>DPHHS Systems Improvement Division</w:t>
      </w:r>
    </w:p>
    <w:p w:rsidR="00A55DB6" w:rsidRDefault="00A55DB6" w:rsidP="00A55DB6">
      <w:pPr>
        <w:pStyle w:val="ListParagraph"/>
        <w:numPr>
          <w:ilvl w:val="0"/>
          <w:numId w:val="21"/>
        </w:numPr>
        <w:spacing w:before="120" w:line="264" w:lineRule="auto"/>
      </w:pPr>
      <w:r>
        <w:t>City of Glasgow</w:t>
      </w:r>
    </w:p>
    <w:p w:rsidR="00A55DB6" w:rsidRPr="001D2762" w:rsidRDefault="00A55DB6" w:rsidP="00A55DB6">
      <w:pPr>
        <w:pStyle w:val="ListParagraph"/>
        <w:numPr>
          <w:ilvl w:val="0"/>
          <w:numId w:val="21"/>
        </w:numPr>
        <w:spacing w:before="120" w:line="264" w:lineRule="auto"/>
      </w:pPr>
      <w:r w:rsidRPr="001D2762">
        <w:t>Eastern Montana Community Mental Health Center</w:t>
      </w:r>
    </w:p>
    <w:p w:rsidR="00A55DB6" w:rsidRDefault="00A55DB6" w:rsidP="00A55DB6">
      <w:pPr>
        <w:pStyle w:val="ListParagraph"/>
        <w:numPr>
          <w:ilvl w:val="0"/>
          <w:numId w:val="21"/>
        </w:numPr>
        <w:spacing w:before="120" w:line="264" w:lineRule="auto"/>
      </w:pPr>
      <w:r>
        <w:t>Frances Mahon Deaconess Hospital</w:t>
      </w:r>
    </w:p>
    <w:p w:rsidR="00A55DB6" w:rsidRDefault="00A55DB6" w:rsidP="00A55DB6">
      <w:pPr>
        <w:pStyle w:val="ListParagraph"/>
        <w:numPr>
          <w:ilvl w:val="0"/>
          <w:numId w:val="21"/>
        </w:numPr>
        <w:spacing w:before="120" w:line="264" w:lineRule="auto"/>
      </w:pPr>
      <w:r>
        <w:t>Glasgow DUI Task Force</w:t>
      </w:r>
    </w:p>
    <w:p w:rsidR="00A55DB6" w:rsidRDefault="00A55DB6" w:rsidP="00A55DB6">
      <w:pPr>
        <w:pStyle w:val="ListParagraph"/>
        <w:numPr>
          <w:ilvl w:val="0"/>
          <w:numId w:val="21"/>
        </w:numPr>
        <w:spacing w:before="120" w:line="264" w:lineRule="auto"/>
      </w:pPr>
      <w:r>
        <w:t>Glasgow Housing Authority</w:t>
      </w:r>
    </w:p>
    <w:p w:rsidR="00A55DB6" w:rsidRDefault="00A55DB6" w:rsidP="00A55DB6">
      <w:pPr>
        <w:pStyle w:val="ListParagraph"/>
        <w:numPr>
          <w:ilvl w:val="0"/>
          <w:numId w:val="21"/>
        </w:numPr>
        <w:spacing w:before="120" w:line="264" w:lineRule="auto"/>
      </w:pPr>
      <w:r>
        <w:t>Glasgow Police Department</w:t>
      </w:r>
    </w:p>
    <w:p w:rsidR="00A55DB6" w:rsidRDefault="00A55DB6" w:rsidP="00A55DB6">
      <w:pPr>
        <w:pStyle w:val="ListParagraph"/>
        <w:numPr>
          <w:ilvl w:val="0"/>
          <w:numId w:val="21"/>
        </w:numPr>
        <w:spacing w:before="120" w:line="264" w:lineRule="auto"/>
      </w:pPr>
      <w:r>
        <w:t>Glasgow Prevention Specialist</w:t>
      </w:r>
    </w:p>
    <w:p w:rsidR="00A55DB6" w:rsidRDefault="00A55DB6" w:rsidP="00A55DB6">
      <w:pPr>
        <w:pStyle w:val="ListParagraph"/>
        <w:numPr>
          <w:ilvl w:val="0"/>
          <w:numId w:val="21"/>
        </w:numPr>
        <w:spacing w:before="120" w:line="264" w:lineRule="auto"/>
      </w:pPr>
      <w:r>
        <w:t>Glasgow School District</w:t>
      </w:r>
    </w:p>
    <w:p w:rsidR="00A55DB6" w:rsidRDefault="00A55DB6" w:rsidP="00A55DB6">
      <w:pPr>
        <w:pStyle w:val="ListParagraph"/>
        <w:numPr>
          <w:ilvl w:val="0"/>
          <w:numId w:val="21"/>
        </w:numPr>
        <w:spacing w:before="120" w:line="264" w:lineRule="auto"/>
      </w:pPr>
      <w:r>
        <w:t>Hi Line Homes, Inc.</w:t>
      </w:r>
      <w:r w:rsidRPr="0050376F">
        <w:t xml:space="preserve"> </w:t>
      </w:r>
    </w:p>
    <w:p w:rsidR="00A55DB6" w:rsidRDefault="00A55DB6" w:rsidP="00A55DB6">
      <w:pPr>
        <w:pStyle w:val="ListParagraph"/>
        <w:numPr>
          <w:ilvl w:val="0"/>
          <w:numId w:val="21"/>
        </w:numPr>
        <w:spacing w:before="120" w:line="264" w:lineRule="auto"/>
      </w:pPr>
      <w:r>
        <w:t>Montana Healthcare Foundation</w:t>
      </w:r>
    </w:p>
    <w:p w:rsidR="00277F6C" w:rsidRDefault="00277F6C" w:rsidP="00A55DB6">
      <w:pPr>
        <w:pStyle w:val="ListParagraph"/>
        <w:numPr>
          <w:ilvl w:val="0"/>
          <w:numId w:val="21"/>
        </w:numPr>
        <w:spacing w:before="120" w:line="264" w:lineRule="auto"/>
      </w:pPr>
      <w:r>
        <w:t>Riverstone Health</w:t>
      </w:r>
    </w:p>
    <w:p w:rsidR="00A55DB6" w:rsidRDefault="00A55DB6" w:rsidP="00A55DB6">
      <w:pPr>
        <w:pStyle w:val="ListParagraph"/>
        <w:numPr>
          <w:ilvl w:val="0"/>
          <w:numId w:val="21"/>
        </w:numPr>
        <w:spacing w:before="120" w:line="264" w:lineRule="auto"/>
      </w:pPr>
      <w:r>
        <w:t>Soroptimist</w:t>
      </w:r>
      <w:bookmarkStart w:id="0" w:name="_GoBack"/>
      <w:bookmarkEnd w:id="0"/>
      <w:r>
        <w:t xml:space="preserve"> International</w:t>
      </w:r>
    </w:p>
    <w:p w:rsidR="00A55DB6" w:rsidRDefault="00A55DB6" w:rsidP="00A55DB6">
      <w:pPr>
        <w:pStyle w:val="ListParagraph"/>
        <w:numPr>
          <w:ilvl w:val="0"/>
          <w:numId w:val="21"/>
        </w:numPr>
        <w:spacing w:before="120" w:line="264" w:lineRule="auto"/>
      </w:pPr>
      <w:r>
        <w:t>Valley County Board of Health</w:t>
      </w:r>
    </w:p>
    <w:p w:rsidR="00A55DB6" w:rsidRDefault="00A55DB6" w:rsidP="00A55DB6">
      <w:pPr>
        <w:pStyle w:val="ListParagraph"/>
        <w:numPr>
          <w:ilvl w:val="0"/>
          <w:numId w:val="21"/>
        </w:numPr>
        <w:spacing w:before="120" w:line="264" w:lineRule="auto"/>
      </w:pPr>
      <w:r>
        <w:t>Valley County Emergency Medical Services</w:t>
      </w:r>
    </w:p>
    <w:p w:rsidR="00A55DB6" w:rsidRDefault="00A55DB6" w:rsidP="00A55DB6">
      <w:pPr>
        <w:pStyle w:val="ListParagraph"/>
        <w:numPr>
          <w:ilvl w:val="0"/>
          <w:numId w:val="21"/>
        </w:numPr>
        <w:spacing w:before="120" w:line="264" w:lineRule="auto"/>
      </w:pPr>
      <w:r>
        <w:t>Valley County Food Bank</w:t>
      </w:r>
    </w:p>
    <w:p w:rsidR="00A55DB6" w:rsidRDefault="00A55DB6" w:rsidP="00A55DB6">
      <w:pPr>
        <w:pStyle w:val="ListParagraph"/>
        <w:numPr>
          <w:ilvl w:val="0"/>
          <w:numId w:val="21"/>
        </w:numPr>
        <w:spacing w:before="120" w:line="264" w:lineRule="auto"/>
      </w:pPr>
      <w:r>
        <w:t>Valley County Health Department</w:t>
      </w:r>
    </w:p>
    <w:p w:rsidR="00A55DB6" w:rsidRDefault="00A55DB6" w:rsidP="00A55DB6">
      <w:pPr>
        <w:pStyle w:val="ListParagraph"/>
        <w:numPr>
          <w:ilvl w:val="0"/>
          <w:numId w:val="21"/>
        </w:numPr>
        <w:spacing w:before="120" w:line="264" w:lineRule="auto"/>
      </w:pPr>
      <w:r>
        <w:t>Valley County Ministerial Association</w:t>
      </w:r>
    </w:p>
    <w:p w:rsidR="00A55DB6" w:rsidRDefault="00A55DB6" w:rsidP="00A55DB6">
      <w:pPr>
        <w:pStyle w:val="ListParagraph"/>
        <w:numPr>
          <w:ilvl w:val="0"/>
          <w:numId w:val="21"/>
        </w:numPr>
        <w:spacing w:before="120" w:line="264" w:lineRule="auto"/>
      </w:pPr>
      <w:r>
        <w:t>Valley County Senior Center</w:t>
      </w:r>
    </w:p>
    <w:p w:rsidR="00A55DB6" w:rsidRDefault="00A55DB6" w:rsidP="00A55DB6">
      <w:pPr>
        <w:pStyle w:val="ListParagraph"/>
        <w:numPr>
          <w:ilvl w:val="0"/>
          <w:numId w:val="21"/>
        </w:numPr>
        <w:spacing w:before="120" w:line="264" w:lineRule="auto"/>
      </w:pPr>
      <w:r>
        <w:t>Valley County Sheriff Department</w:t>
      </w:r>
    </w:p>
    <w:p w:rsidR="00270565" w:rsidRDefault="00270565" w:rsidP="00270565">
      <w:pPr>
        <w:pStyle w:val="ListParagraph"/>
        <w:numPr>
          <w:ilvl w:val="0"/>
          <w:numId w:val="21"/>
        </w:numPr>
        <w:spacing w:before="120" w:line="264" w:lineRule="auto"/>
      </w:pPr>
      <w:r>
        <w:t>Youth Dynamics, Inc.</w:t>
      </w:r>
    </w:p>
    <w:p w:rsidR="00270565" w:rsidRDefault="00270565" w:rsidP="00270565">
      <w:pPr>
        <w:spacing w:before="120" w:line="264" w:lineRule="auto"/>
      </w:pPr>
    </w:p>
    <w:p w:rsidR="00270565" w:rsidRDefault="00270565" w:rsidP="00270565">
      <w:pPr>
        <w:spacing w:before="120" w:line="264" w:lineRule="auto"/>
      </w:pPr>
    </w:p>
    <w:p w:rsidR="00270565" w:rsidRDefault="00270565" w:rsidP="00270565">
      <w:pPr>
        <w:spacing w:before="120" w:line="264" w:lineRule="auto"/>
      </w:pPr>
    </w:p>
    <w:p w:rsidR="00270565" w:rsidRDefault="00270565" w:rsidP="00270565">
      <w:pPr>
        <w:spacing w:before="120" w:line="264" w:lineRule="auto"/>
      </w:pPr>
    </w:p>
    <w:p w:rsidR="00A55DB6" w:rsidRPr="001D2762" w:rsidRDefault="00A55DB6" w:rsidP="00A55DB6">
      <w:pPr>
        <w:ind w:left="360"/>
        <w:rPr>
          <w:highlight w:val="yellow"/>
        </w:rPr>
      </w:pPr>
    </w:p>
    <w:p w:rsidR="00A55DB6" w:rsidRDefault="00A55DB6" w:rsidP="00A55DB6">
      <w:pPr>
        <w:ind w:left="360"/>
        <w:rPr>
          <w:highlight w:val="yellow"/>
        </w:rPr>
      </w:pPr>
    </w:p>
    <w:p w:rsidR="00270565" w:rsidRPr="001D2762" w:rsidRDefault="00270565" w:rsidP="00A55DB6">
      <w:pPr>
        <w:ind w:left="360"/>
        <w:rPr>
          <w:highlight w:val="yellow"/>
        </w:rPr>
      </w:pPr>
    </w:p>
    <w:p w:rsidR="00270565" w:rsidRPr="00270565" w:rsidRDefault="00270565" w:rsidP="00270565"/>
    <w:p w:rsidR="00A55DB6" w:rsidRPr="00270565" w:rsidRDefault="00595795" w:rsidP="00270565">
      <w:pPr>
        <w:pStyle w:val="Title"/>
      </w:pPr>
      <w:r>
        <w:lastRenderedPageBreak/>
        <w:t>Executive Summary</w:t>
      </w:r>
    </w:p>
    <w:p w:rsidR="002F7178" w:rsidRDefault="002F7178" w:rsidP="002F7178">
      <w:r>
        <w:t>A Community Health Assessment was held in Valley County on Saturday, April 23, 2016.  CASPER methodology was used to gather information from 121 households in Valley County.  Key findings included: 42% of the household respondents were age 60 and older.  Almost 60% had lived in Valley County for 16 or more years.  68% feel safe in their home and 59% feel safe in the community.  Self-reporting their health as either excellent, very good or good is 78.9% of the respondents.  50.8% report their mental health to be excellent, very good, or good.</w:t>
      </w:r>
    </w:p>
    <w:p w:rsidR="002F7178" w:rsidRDefault="002F7178" w:rsidP="002F7178"/>
    <w:p w:rsidR="002F7178" w:rsidRDefault="002F7178" w:rsidP="002F7178">
      <w:r>
        <w:t>Areas for improvement include; 2 of 10 households use some type of tobacco product.  29.8% of Valley County respondents would like to see more parks, trails or greenways, the same amount would like to see more/ better sidewalks to enhance physical activity.</w:t>
      </w:r>
    </w:p>
    <w:p w:rsidR="002F7178" w:rsidRDefault="002F7178" w:rsidP="002F7178">
      <w:r>
        <w:t>Through this process the Valley County Health Department, Frances Mahon Deaconess Hospital, Eastern Montana Community Mental Health Center and Glasgow Police Department formed the Valley C.A.R.E. Coalition ((Coordination, Access, Resources and Education) to bring community partners together to leverage resources which will promote better health in Valley County.</w:t>
      </w:r>
    </w:p>
    <w:p w:rsidR="002F7178" w:rsidRDefault="002F7178" w:rsidP="002F7178"/>
    <w:p w:rsidR="002F7178" w:rsidRDefault="002F7178" w:rsidP="002F7178">
      <w:r>
        <w:t>Mission Statement:  Valley CARE Coalition created full and satisfying lives by improving health and wellness for our community.</w:t>
      </w:r>
    </w:p>
    <w:p w:rsidR="002F7178" w:rsidRDefault="002F7178" w:rsidP="002F7178">
      <w:r>
        <w:t>Value Statement: Align wellness efforts of community members in a meaningful way, embrace health as more than physical status and engage in evidence-based tactics.</w:t>
      </w:r>
    </w:p>
    <w:p w:rsidR="002F7178" w:rsidRDefault="002F7178" w:rsidP="002F7178"/>
    <w:p w:rsidR="00C74E47" w:rsidRDefault="00A55DB6" w:rsidP="00521FF5">
      <w:r>
        <w:br w:type="page"/>
      </w:r>
    </w:p>
    <w:sdt>
      <w:sdtPr>
        <w:rPr>
          <w:rFonts w:asciiTheme="minorHAnsi" w:eastAsiaTheme="minorEastAsia" w:hAnsiTheme="minorHAnsi" w:cstheme="minorBidi"/>
          <w:i/>
          <w:color w:val="auto"/>
          <w:spacing w:val="0"/>
          <w:kern w:val="0"/>
          <w:sz w:val="22"/>
          <w:szCs w:val="22"/>
        </w:rPr>
        <w:id w:val="-1958249012"/>
        <w:docPartObj>
          <w:docPartGallery w:val="Table of Contents"/>
          <w:docPartUnique/>
        </w:docPartObj>
      </w:sdtPr>
      <w:sdtContent>
        <w:p w:rsidR="00370CB5" w:rsidRPr="00370CB5" w:rsidRDefault="00370CB5" w:rsidP="00370CB5">
          <w:pPr>
            <w:pStyle w:val="Title"/>
            <w:rPr>
              <w:rStyle w:val="Heading2Char"/>
            </w:rPr>
          </w:pPr>
          <w:r>
            <w:rPr>
              <w:rStyle w:val="Heading2Char"/>
            </w:rPr>
            <w:t>Table of Contents</w:t>
          </w:r>
        </w:p>
        <w:p w:rsidR="00370CB5" w:rsidRPr="00270565" w:rsidRDefault="00370CB5" w:rsidP="00370CB5">
          <w:pPr>
            <w:pStyle w:val="TOCHeading"/>
            <w:rPr>
              <w:rFonts w:asciiTheme="minorHAnsi" w:hAnsiTheme="minorHAnsi" w:cstheme="minorHAnsi"/>
              <w:color w:val="auto"/>
            </w:rPr>
          </w:pPr>
          <w:r w:rsidRPr="00270565">
            <w:rPr>
              <w:rFonts w:asciiTheme="minorHAnsi" w:hAnsiTheme="minorHAnsi" w:cstheme="minorHAnsi"/>
              <w:b w:val="0"/>
              <w:bCs w:val="0"/>
              <w:color w:val="auto"/>
            </w:rPr>
            <w:t>Executive Summary</w:t>
          </w:r>
          <w:r w:rsidRPr="00270565">
            <w:rPr>
              <w:rFonts w:asciiTheme="minorHAnsi" w:hAnsiTheme="minorHAnsi" w:cstheme="minorHAnsi"/>
              <w:b w:val="0"/>
              <w:color w:val="auto"/>
            </w:rPr>
            <w:ptab w:relativeTo="margin" w:alignment="right" w:leader="dot"/>
          </w:r>
          <w:r w:rsidRPr="00270565">
            <w:rPr>
              <w:rFonts w:asciiTheme="minorHAnsi" w:hAnsiTheme="minorHAnsi" w:cstheme="minorHAnsi"/>
              <w:b w:val="0"/>
              <w:color w:val="auto"/>
            </w:rPr>
            <w:t>2</w:t>
          </w:r>
        </w:p>
        <w:p w:rsidR="00370CB5" w:rsidRPr="00270565" w:rsidRDefault="00370CB5">
          <w:pPr>
            <w:pStyle w:val="TOC1"/>
            <w:rPr>
              <w:rFonts w:cstheme="minorHAnsi"/>
              <w:sz w:val="28"/>
              <w:szCs w:val="28"/>
            </w:rPr>
          </w:pPr>
          <w:r w:rsidRPr="00270565">
            <w:rPr>
              <w:rFonts w:cstheme="minorHAnsi"/>
              <w:bCs/>
              <w:sz w:val="28"/>
              <w:szCs w:val="28"/>
            </w:rPr>
            <w:t>Secondary Data</w:t>
          </w:r>
          <w:r w:rsidRPr="00270565">
            <w:rPr>
              <w:rFonts w:cstheme="minorHAnsi"/>
              <w:sz w:val="28"/>
              <w:szCs w:val="28"/>
            </w:rPr>
            <w:ptab w:relativeTo="margin" w:alignment="right" w:leader="dot"/>
          </w:r>
          <w:r w:rsidRPr="00270565">
            <w:rPr>
              <w:rFonts w:cstheme="minorHAnsi"/>
              <w:bCs/>
              <w:sz w:val="28"/>
              <w:szCs w:val="28"/>
            </w:rPr>
            <w:t>4</w:t>
          </w:r>
        </w:p>
        <w:p w:rsidR="00370CB5" w:rsidRDefault="00270565">
          <w:pPr>
            <w:pStyle w:val="TOC2"/>
            <w:ind w:left="216"/>
          </w:pPr>
          <w:r>
            <w:t>Valley County</w:t>
          </w:r>
          <w:r w:rsidR="00370CB5">
            <w:ptab w:relativeTo="margin" w:alignment="right" w:leader="dot"/>
          </w:r>
          <w:r w:rsidR="00370CB5">
            <w:t>5</w:t>
          </w:r>
        </w:p>
        <w:p w:rsidR="00C355F4" w:rsidRDefault="001C163F" w:rsidP="00C355F4">
          <w:pPr>
            <w:pStyle w:val="TOC2"/>
            <w:ind w:left="216"/>
          </w:pPr>
          <w:r>
            <w:t>Secondary Data Sources</w:t>
          </w:r>
          <w:r w:rsidR="00270565">
            <w:ptab w:relativeTo="margin" w:alignment="right" w:leader="dot"/>
          </w:r>
          <w:r>
            <w:t>6</w:t>
          </w:r>
        </w:p>
        <w:p w:rsidR="00370CB5" w:rsidRPr="00C355F4" w:rsidRDefault="00FA00C8" w:rsidP="00C355F4">
          <w:pPr>
            <w:pStyle w:val="TOC2"/>
          </w:pPr>
          <w:r>
            <w:rPr>
              <w:bCs/>
              <w:sz w:val="28"/>
              <w:szCs w:val="28"/>
            </w:rPr>
            <w:t>Primary</w:t>
          </w:r>
          <w:r w:rsidR="00370CB5" w:rsidRPr="00370CB5">
            <w:rPr>
              <w:bCs/>
              <w:sz w:val="28"/>
              <w:szCs w:val="28"/>
            </w:rPr>
            <w:t xml:space="preserve"> Data</w:t>
          </w:r>
          <w:r w:rsidR="00370CB5" w:rsidRPr="00370CB5">
            <w:rPr>
              <w:sz w:val="28"/>
              <w:szCs w:val="28"/>
            </w:rPr>
            <w:ptab w:relativeTo="margin" w:alignment="right" w:leader="dot"/>
          </w:r>
          <w:r>
            <w:rPr>
              <w:bCs/>
              <w:sz w:val="28"/>
              <w:szCs w:val="28"/>
            </w:rPr>
            <w:t>13</w:t>
          </w:r>
        </w:p>
        <w:p w:rsidR="00370CB5" w:rsidRDefault="00430647" w:rsidP="00370CB5">
          <w:pPr>
            <w:pStyle w:val="TOC2"/>
            <w:ind w:left="216"/>
          </w:pPr>
          <w:r>
            <w:t>Primary Data Collection and</w:t>
          </w:r>
          <w:r w:rsidR="00C355F4">
            <w:t xml:space="preserve"> Methodology</w:t>
          </w:r>
          <w:r w:rsidR="00370CB5">
            <w:ptab w:relativeTo="margin" w:alignment="right" w:leader="dot"/>
          </w:r>
          <w:r w:rsidR="00C355F4">
            <w:t>14</w:t>
          </w:r>
        </w:p>
        <w:p w:rsidR="00C355F4" w:rsidRDefault="00C355F4" w:rsidP="00C355F4">
          <w:pPr>
            <w:pStyle w:val="TOC2"/>
            <w:ind w:left="216"/>
          </w:pPr>
          <w:r>
            <w:t>Primary Data Results</w:t>
          </w:r>
          <w:r>
            <w:ptab w:relativeTo="margin" w:alignment="right" w:leader="dot"/>
          </w:r>
          <w:r>
            <w:t>16</w:t>
          </w:r>
        </w:p>
        <w:p w:rsidR="007B6EE0" w:rsidRDefault="007B6EE0" w:rsidP="007B6EE0">
          <w:pPr>
            <w:pStyle w:val="TOC2"/>
            <w:ind w:left="216"/>
          </w:pPr>
          <w:r>
            <w:t>Frances Mahon Deaconess Hospital Community Needs Assessment</w:t>
          </w:r>
          <w:r>
            <w:ptab w:relativeTo="margin" w:alignment="right" w:leader="dot"/>
          </w:r>
          <w:r w:rsidR="007D206A">
            <w:t>20</w:t>
          </w:r>
        </w:p>
        <w:p w:rsidR="007D206A" w:rsidRDefault="007D206A" w:rsidP="007D206A">
          <w:pPr>
            <w:pStyle w:val="TOC2"/>
            <w:rPr>
              <w:bCs/>
              <w:sz w:val="28"/>
              <w:szCs w:val="28"/>
            </w:rPr>
          </w:pPr>
          <w:r>
            <w:rPr>
              <w:bCs/>
              <w:sz w:val="28"/>
              <w:szCs w:val="28"/>
            </w:rPr>
            <w:t>Priority Areas</w:t>
          </w:r>
          <w:r w:rsidRPr="00370CB5">
            <w:rPr>
              <w:sz w:val="28"/>
              <w:szCs w:val="28"/>
            </w:rPr>
            <w:ptab w:relativeTo="margin" w:alignment="right" w:leader="dot"/>
          </w:r>
          <w:r>
            <w:rPr>
              <w:bCs/>
              <w:sz w:val="28"/>
              <w:szCs w:val="28"/>
            </w:rPr>
            <w:t>21</w:t>
          </w:r>
        </w:p>
        <w:p w:rsidR="007D206A" w:rsidRDefault="007D206A" w:rsidP="007D206A">
          <w:pPr>
            <w:pStyle w:val="TOC2"/>
            <w:ind w:left="216"/>
          </w:pPr>
          <w:r>
            <w:t>Community Health Assessment Priority Ranking Sheet</w:t>
          </w:r>
          <w:r>
            <w:ptab w:relativeTo="margin" w:alignment="right" w:leader="dot"/>
          </w:r>
          <w:r w:rsidR="00F07E5B">
            <w:t>22</w:t>
          </w:r>
        </w:p>
        <w:p w:rsidR="00F07E5B" w:rsidRDefault="00F07E5B" w:rsidP="00F07E5B">
          <w:pPr>
            <w:pStyle w:val="TOC2"/>
            <w:ind w:left="216"/>
          </w:pPr>
          <w:r>
            <w:t>Community Health Assessment Feedback Form</w:t>
          </w:r>
          <w:r>
            <w:ptab w:relativeTo="margin" w:alignment="right" w:leader="dot"/>
          </w:r>
          <w:r>
            <w:t>2</w:t>
          </w:r>
          <w:r w:rsidR="009A5464">
            <w:t>3</w:t>
          </w:r>
        </w:p>
        <w:p w:rsidR="007D206A" w:rsidRDefault="007D206A" w:rsidP="007D206A">
          <w:pPr>
            <w:pStyle w:val="TOC2"/>
            <w:ind w:left="216"/>
          </w:pPr>
          <w:r>
            <w:t>Identified Priority Areas</w:t>
          </w:r>
          <w:r>
            <w:ptab w:relativeTo="margin" w:alignment="right" w:leader="dot"/>
          </w:r>
          <w:r>
            <w:t>2</w:t>
          </w:r>
          <w:r w:rsidR="00F07E5B">
            <w:t>4</w:t>
          </w:r>
        </w:p>
        <w:p w:rsidR="00F07E5B" w:rsidRDefault="00F07E5B" w:rsidP="00F07E5B">
          <w:pPr>
            <w:pStyle w:val="TOC2"/>
            <w:rPr>
              <w:bCs/>
              <w:sz w:val="28"/>
              <w:szCs w:val="28"/>
            </w:rPr>
          </w:pPr>
          <w:r>
            <w:rPr>
              <w:bCs/>
              <w:sz w:val="28"/>
              <w:szCs w:val="28"/>
            </w:rPr>
            <w:t>Appendices</w:t>
          </w:r>
          <w:r w:rsidRPr="00370CB5">
            <w:rPr>
              <w:sz w:val="28"/>
              <w:szCs w:val="28"/>
            </w:rPr>
            <w:ptab w:relativeTo="margin" w:alignment="right" w:leader="dot"/>
          </w:r>
          <w:r>
            <w:rPr>
              <w:bCs/>
              <w:sz w:val="28"/>
              <w:szCs w:val="28"/>
            </w:rPr>
            <w:t>21</w:t>
          </w:r>
        </w:p>
        <w:p w:rsidR="002B01D2" w:rsidRDefault="002B01D2" w:rsidP="002B01D2">
          <w:pPr>
            <w:pStyle w:val="TOC2"/>
            <w:ind w:left="216"/>
          </w:pPr>
          <w:r>
            <w:t>Community Health Assessment Survey</w:t>
          </w:r>
          <w:r>
            <w:ptab w:relativeTo="margin" w:alignment="right" w:leader="dot"/>
          </w:r>
          <w:r>
            <w:t>25</w:t>
          </w:r>
        </w:p>
        <w:p w:rsidR="002B01D2" w:rsidRDefault="002B01D2" w:rsidP="002B01D2">
          <w:pPr>
            <w:pStyle w:val="TOC2"/>
            <w:ind w:left="216"/>
          </w:pPr>
          <w:r>
            <w:t>Community Health Assessment Volunteer Evaluation</w:t>
          </w:r>
          <w:r>
            <w:ptab w:relativeTo="margin" w:alignment="right" w:leader="dot"/>
          </w:r>
          <w:r>
            <w:t>29</w:t>
          </w:r>
        </w:p>
        <w:p w:rsidR="001D42A1" w:rsidRDefault="001D42A1" w:rsidP="001D42A1">
          <w:pPr>
            <w:pStyle w:val="TOC2"/>
            <w:rPr>
              <w:bCs/>
              <w:sz w:val="28"/>
              <w:szCs w:val="28"/>
            </w:rPr>
          </w:pPr>
          <w:r>
            <w:rPr>
              <w:bCs/>
              <w:sz w:val="28"/>
              <w:szCs w:val="28"/>
            </w:rPr>
            <w:t>References</w:t>
          </w:r>
          <w:r w:rsidRPr="00370CB5">
            <w:rPr>
              <w:sz w:val="28"/>
              <w:szCs w:val="28"/>
            </w:rPr>
            <w:ptab w:relativeTo="margin" w:alignment="right" w:leader="dot"/>
          </w:r>
          <w:r w:rsidR="00F83559">
            <w:rPr>
              <w:bCs/>
              <w:sz w:val="28"/>
              <w:szCs w:val="28"/>
            </w:rPr>
            <w:t>30</w:t>
          </w:r>
        </w:p>
        <w:p w:rsidR="007D206A" w:rsidRDefault="007D206A" w:rsidP="007D206A">
          <w:pPr>
            <w:pStyle w:val="TOC2"/>
            <w:ind w:left="216"/>
          </w:pPr>
        </w:p>
        <w:p w:rsidR="007D206A" w:rsidRPr="00C355F4" w:rsidRDefault="007D206A" w:rsidP="007D206A">
          <w:pPr>
            <w:pStyle w:val="TOC2"/>
          </w:pPr>
        </w:p>
        <w:p w:rsidR="007D206A" w:rsidRDefault="007D206A" w:rsidP="007B6EE0">
          <w:pPr>
            <w:pStyle w:val="TOC2"/>
            <w:ind w:left="216"/>
          </w:pPr>
        </w:p>
        <w:p w:rsidR="007B6EE0" w:rsidRDefault="007B6EE0" w:rsidP="00C355F4">
          <w:pPr>
            <w:pStyle w:val="TOC2"/>
            <w:ind w:left="216"/>
          </w:pPr>
        </w:p>
        <w:p w:rsidR="00370CB5" w:rsidRDefault="00284C67">
          <w:pPr>
            <w:pStyle w:val="TOC3"/>
            <w:ind w:left="446"/>
          </w:pPr>
        </w:p>
      </w:sdtContent>
    </w:sdt>
    <w:p w:rsidR="00AB1821" w:rsidRDefault="001C66BB">
      <w:r>
        <w:br w:type="page"/>
      </w:r>
    </w:p>
    <w:p w:rsidR="00AB1821" w:rsidRDefault="00284C67">
      <w:r>
        <w:rPr>
          <w:noProof/>
        </w:rPr>
        <w:lastRenderedPageBreak/>
        <w:pict>
          <v:rect id="Rectangle 48" o:spid="_x0000_s1029" style="position:absolute;margin-left:25.1pt;margin-top:16.75pt;width:565.85pt;height:760.3pt;z-index:251659263;visibility:visible;mso-height-percent:960;mso-position-horizontal-relative:page;mso-position-vertical-relative:page;mso-height-percent:9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" fillcolor="#267b1f" stroked="f" strokeweight="1pt">
            <v:path arrowok="t"/>
            <v:textbox inset="14.4pt,,14.4pt">
              <w:txbxContent>
                <w:p w:rsidR="00C67FAB" w:rsidRPr="00E85620" w:rsidRDefault="00C67FAB" w:rsidP="00E85620">
                  <w:pPr>
                    <w:pStyle w:val="Subtitle"/>
                    <w:rPr>
                      <w:color w:val="FFFFFF" w:themeColor="background1"/>
                      <w:sz w:val="64"/>
                      <w:szCs w:val="64"/>
                    </w:rPr>
                  </w:pPr>
                  <w:r>
                    <w:rPr>
                      <w:color w:val="FFFFFF" w:themeColor="background1"/>
                      <w:sz w:val="64"/>
                      <w:szCs w:val="64"/>
                      <w:lang w:eastAsia="ja-JP"/>
                    </w:rPr>
                    <w:t>Secondary Data</w:t>
                  </w:r>
                </w:p>
              </w:txbxContent>
            </v:textbox>
            <w10:wrap anchorx="page" anchory="page"/>
          </v:rect>
        </w:pict>
      </w:r>
    </w:p>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E85620" w:rsidRDefault="00E85620"/>
    <w:p w:rsidR="001C66BB" w:rsidRDefault="007306AC">
      <w:r>
        <w:rPr>
          <w:noProof/>
        </w:rPr>
        <w:lastRenderedPageBreak/>
        <w:drawing>
          <wp:anchor distT="0" distB="0" distL="114300" distR="114300" simplePos="0" relativeHeight="251660288" behindDoc="0" locked="0" layoutInCell="1" allowOverlap="1">
            <wp:simplePos x="0" y="0"/>
            <wp:positionH relativeFrom="margin">
              <wp:posOffset>318135</wp:posOffset>
            </wp:positionH>
            <wp:positionV relativeFrom="margin">
              <wp:posOffset>3033395</wp:posOffset>
            </wp:positionV>
            <wp:extent cx="5754370" cy="4492625"/>
            <wp:effectExtent l="323850" t="323850" r="322580" b="3270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4370" cy="449262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anchor>
        </w:drawing>
      </w:r>
      <w:r w:rsidR="00284C67">
        <w:rPr>
          <w:noProof/>
        </w:rPr>
        <w:pict>
          <v:shape id="_x0000_s1030" type="#_x0000_t202" style="position:absolute;margin-left:-21.15pt;margin-top:9.1pt;width:508.95pt;height:179.8pt;z-index:2516792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" filled="f" stroked="f">
            <v:textbox style="mso-fit-shape-to-text:t">
              <w:txbxContent>
                <w:p w:rsidR="00C67FAB" w:rsidRPr="00270565" w:rsidRDefault="00C67FAB" w:rsidP="00270565">
                  <w:pPr>
                    <w:pStyle w:val="Title"/>
                    <w:rPr>
                      <w:bCs/>
                      <w:szCs w:val="26"/>
                    </w:rPr>
                  </w:pPr>
                  <w:r>
                    <w:rPr>
                      <w:rStyle w:val="Heading2Char"/>
                    </w:rPr>
                    <w:t>Valley County</w:t>
                  </w:r>
                </w:p>
                <w:p w:rsidR="00C67FAB" w:rsidRPr="001C163F" w:rsidRDefault="00C67FAB" w:rsidP="00270565">
                  <w:pPr>
                    <w:jc w:val="both"/>
                  </w:pPr>
                  <w:r w:rsidRPr="001C163F">
                    <w:t xml:space="preserve">Valley County is located in the eastern side of Montana and is a rural county with 11,576 persons (4.7 persons/square mile). Valley County Health Department (VCHD), Frances Mahon Deaconess Hospital (FMDH), and Eastern Montana Community Mental Health Center (EMCMHC) collaborated to complete the community health assessment. </w:t>
                  </w:r>
                </w:p>
                <w:p w:rsidR="00C67FAB" w:rsidRDefault="00C67FAB" w:rsidP="004201A2">
                  <w:pPr>
                    <w:jc w:val="both"/>
                  </w:pPr>
                </w:p>
              </w:txbxContent>
            </v:textbox>
          </v:shape>
        </w:pict>
      </w:r>
      <w:r w:rsidR="001C66BB">
        <w:br w:type="page"/>
      </w:r>
    </w:p>
    <w:p w:rsidR="00270565" w:rsidRPr="00270565" w:rsidRDefault="00270565" w:rsidP="00270565">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lastRenderedPageBreak/>
        <w:t>Secondary Data</w:t>
      </w:r>
    </w:p>
    <w:p w:rsidR="00E85620" w:rsidRPr="000E7ED1" w:rsidRDefault="00E85620" w:rsidP="00FA00C8">
      <w:pPr>
        <w:pStyle w:val="NoSpacing"/>
        <w:spacing w:after="240" w:line="276" w:lineRule="auto"/>
      </w:pPr>
      <w:r w:rsidRPr="00270565">
        <w:t xml:space="preserve">The following summary report provides an overview of key secondary data to be considered in the development of the 2016 Valley County Community Health Needs Assessment survey instrument.    </w:t>
      </w:r>
    </w:p>
    <w:p w:rsidR="00E85620" w:rsidRPr="00270565" w:rsidRDefault="00E85620" w:rsidP="00C67FAB">
      <w:pPr>
        <w:tabs>
          <w:tab w:val="left" w:pos="4680"/>
        </w:tabs>
        <w:rPr>
          <w:rFonts w:cstheme="minorHAnsi"/>
          <w:b/>
          <w:sz w:val="24"/>
          <w:szCs w:val="24"/>
          <w:u w:val="single"/>
        </w:rPr>
      </w:pPr>
      <w:r w:rsidRPr="00270565">
        <w:rPr>
          <w:rFonts w:cstheme="minorHAnsi"/>
          <w:b/>
          <w:sz w:val="24"/>
          <w:szCs w:val="24"/>
          <w:u w:val="single"/>
        </w:rPr>
        <w:t>United States Census Bureau Quick Facts</w:t>
      </w:r>
      <w:r w:rsidR="001D42A1">
        <w:rPr>
          <w:rStyle w:val="EndnoteReference"/>
          <w:rFonts w:cstheme="minorHAnsi"/>
          <w:b/>
          <w:sz w:val="24"/>
          <w:szCs w:val="24"/>
          <w:u w:val="single"/>
        </w:rPr>
        <w:endnoteReference w:id="2"/>
      </w:r>
    </w:p>
    <w:p w:rsidR="00E85620" w:rsidRPr="00315A7E" w:rsidRDefault="00E85620" w:rsidP="00E85620">
      <w:pPr>
        <w:rPr>
          <w:rFonts w:cstheme="minorHAnsi"/>
        </w:rPr>
      </w:pPr>
      <w:r w:rsidRPr="00315A7E">
        <w:rPr>
          <w:rFonts w:cstheme="minorHAnsi"/>
          <w:lang/>
        </w:rPr>
        <w:t xml:space="preserve">The United States Census Bureau's </w:t>
      </w:r>
      <w:r w:rsidRPr="00315A7E">
        <w:rPr>
          <w:rFonts w:cstheme="minorHAnsi"/>
          <w:i/>
          <w:iCs/>
          <w:lang/>
        </w:rPr>
        <w:t>mission</w:t>
      </w:r>
      <w:r w:rsidRPr="00315A7E">
        <w:rPr>
          <w:rFonts w:cstheme="minorHAnsi"/>
          <w:lang/>
        </w:rPr>
        <w:t xml:space="preserve"> is to serve as the leading source of quality data about the nation's people and economy. QuickFacts are summary profiles showing frequently requested data items from various Census Bureau programs.</w:t>
      </w:r>
    </w:p>
    <w:tbl>
      <w:tblPr>
        <w:tblStyle w:val="TableGrid"/>
        <w:tblW w:w="0" w:type="auto"/>
        <w:tblLook w:val="04A0"/>
      </w:tblPr>
      <w:tblGrid>
        <w:gridCol w:w="2394"/>
        <w:gridCol w:w="2394"/>
        <w:gridCol w:w="2394"/>
        <w:gridCol w:w="2394"/>
      </w:tblGrid>
      <w:tr w:rsidR="00E85620" w:rsidTr="000E7ED1">
        <w:tc>
          <w:tcPr>
            <w:tcW w:w="9576" w:type="dxa"/>
            <w:gridSpan w:val="4"/>
            <w:shd w:val="clear" w:color="auto" w:fill="DDDDDD" w:themeFill="accent1"/>
          </w:tcPr>
          <w:p w:rsidR="00E85620" w:rsidRPr="00412356" w:rsidRDefault="00E85620" w:rsidP="00AB1821">
            <w:pPr>
              <w:jc w:val="center"/>
              <w:rPr>
                <w:rFonts w:asciiTheme="minorHAnsi" w:hAnsiTheme="minorHAnsi" w:cstheme="minorHAnsi"/>
                <w:b/>
              </w:rPr>
            </w:pPr>
            <w:r w:rsidRPr="00412356">
              <w:rPr>
                <w:rFonts w:asciiTheme="minorHAnsi" w:hAnsiTheme="minorHAnsi" w:cstheme="minorHAnsi"/>
                <w:b/>
              </w:rPr>
              <w:t>County Demographic Information</w:t>
            </w:r>
          </w:p>
        </w:tc>
      </w:tr>
      <w:tr w:rsidR="00E85620" w:rsidRPr="000E7ED1" w:rsidTr="00AB1821">
        <w:tc>
          <w:tcPr>
            <w:tcW w:w="2394" w:type="dxa"/>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2010 Population</w:t>
            </w:r>
          </w:p>
        </w:tc>
        <w:tc>
          <w:tcPr>
            <w:tcW w:w="2394" w:type="dxa"/>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Current Population Estimates, 2014</w:t>
            </w:r>
          </w:p>
        </w:tc>
        <w:tc>
          <w:tcPr>
            <w:tcW w:w="2394" w:type="dxa"/>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Net Change</w:t>
            </w:r>
          </w:p>
        </w:tc>
        <w:tc>
          <w:tcPr>
            <w:tcW w:w="2394" w:type="dxa"/>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Population Density</w:t>
            </w:r>
          </w:p>
        </w:tc>
      </w:tr>
      <w:tr w:rsidR="00E85620" w:rsidRPr="000E7ED1" w:rsidTr="00AB1821">
        <w:tc>
          <w:tcPr>
            <w:tcW w:w="2394"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lang/>
              </w:rPr>
              <w:t>7,369</w:t>
            </w:r>
          </w:p>
        </w:tc>
        <w:tc>
          <w:tcPr>
            <w:tcW w:w="2394"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lang/>
              </w:rPr>
              <w:t>7,640</w:t>
            </w:r>
          </w:p>
        </w:tc>
        <w:tc>
          <w:tcPr>
            <w:tcW w:w="2394"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3.7%</w:t>
            </w:r>
          </w:p>
        </w:tc>
        <w:tc>
          <w:tcPr>
            <w:tcW w:w="2394"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1.5</w:t>
            </w:r>
          </w:p>
        </w:tc>
      </w:tr>
    </w:tbl>
    <w:p w:rsidR="00E85620" w:rsidRPr="000E7ED1" w:rsidRDefault="00E85620" w:rsidP="00E85620">
      <w:pPr>
        <w:rPr>
          <w:rFonts w:cstheme="minorHAnsi"/>
          <w:b/>
          <w:sz w:val="18"/>
          <w:szCs w:val="18"/>
          <w:u w:val="single"/>
        </w:rPr>
      </w:pPr>
    </w:p>
    <w:tbl>
      <w:tblPr>
        <w:tblStyle w:val="TableGrid"/>
        <w:tblW w:w="0" w:type="auto"/>
        <w:tblLook w:val="04A0"/>
      </w:tblPr>
      <w:tblGrid>
        <w:gridCol w:w="3192"/>
        <w:gridCol w:w="3192"/>
        <w:gridCol w:w="3192"/>
      </w:tblGrid>
      <w:tr w:rsidR="00E85620" w:rsidRPr="000E7ED1" w:rsidTr="000E7ED1">
        <w:tc>
          <w:tcPr>
            <w:tcW w:w="9576" w:type="dxa"/>
            <w:gridSpan w:val="3"/>
            <w:shd w:val="clear" w:color="auto" w:fill="DDDDDD" w:themeFill="accent1"/>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rPr>
              <w:t>Demographic Profile:  Age and Sex (July 1, 2014)</w:t>
            </w:r>
          </w:p>
        </w:tc>
      </w:tr>
      <w:tr w:rsidR="00E85620" w:rsidRPr="000E7ED1" w:rsidTr="00AB1821">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Age</w:t>
            </w:r>
          </w:p>
        </w:tc>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Valley County</w:t>
            </w:r>
          </w:p>
        </w:tc>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Montana</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Persons Under 5 years</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5.4%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6.0%</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Persons Under 18 years</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22.7%</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22.0%</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Persons 65 years and older</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20.8%</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16.7%</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Female Persons</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49.5%</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49.8%</w:t>
            </w:r>
          </w:p>
        </w:tc>
      </w:tr>
    </w:tbl>
    <w:p w:rsidR="00E85620" w:rsidRPr="000E7ED1" w:rsidRDefault="00E85620" w:rsidP="00E85620">
      <w:pPr>
        <w:rPr>
          <w:rFonts w:cstheme="minorHAnsi"/>
          <w:b/>
          <w:sz w:val="18"/>
          <w:szCs w:val="18"/>
          <w:u w:val="single"/>
        </w:rPr>
      </w:pPr>
    </w:p>
    <w:tbl>
      <w:tblPr>
        <w:tblStyle w:val="TableGrid"/>
        <w:tblW w:w="0" w:type="auto"/>
        <w:tblLook w:val="04A0"/>
      </w:tblPr>
      <w:tblGrid>
        <w:gridCol w:w="3192"/>
        <w:gridCol w:w="3192"/>
        <w:gridCol w:w="3192"/>
      </w:tblGrid>
      <w:tr w:rsidR="00E85620" w:rsidRPr="000E7ED1" w:rsidTr="000E7ED1">
        <w:tc>
          <w:tcPr>
            <w:tcW w:w="9576" w:type="dxa"/>
            <w:gridSpan w:val="3"/>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 xml:space="preserve">Demographic Profile:  Race/Ethnic Distribution </w:t>
            </w:r>
          </w:p>
        </w:tc>
      </w:tr>
      <w:tr w:rsidR="00E85620" w:rsidRPr="000E7ED1" w:rsidTr="00AB1821">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Population Subgroup</w:t>
            </w:r>
          </w:p>
        </w:tc>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Valley County</w:t>
            </w:r>
          </w:p>
        </w:tc>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Montana</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White alone</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87.1%</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89.4%</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Black or African American alone</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0.4%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0.6%</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American Indian and Alaska Native alone</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6.6%</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Asian alone</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0.7%</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0.8%</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Native Hawaiian and other Pacific Islander alone</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0.1%</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0.1%</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Two or more races</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2.6%</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Hispanic or Latino</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2.2%</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3.5%</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White alone, not Hispanic or Latino</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85.4%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86.7%</w:t>
            </w:r>
          </w:p>
        </w:tc>
      </w:tr>
    </w:tbl>
    <w:p w:rsidR="00E85620" w:rsidRPr="000E7ED1" w:rsidRDefault="00E85620" w:rsidP="00E85620">
      <w:pPr>
        <w:rPr>
          <w:rFonts w:cstheme="minorHAnsi"/>
          <w:b/>
          <w:sz w:val="18"/>
          <w:szCs w:val="18"/>
          <w:u w:val="single"/>
        </w:rPr>
      </w:pPr>
    </w:p>
    <w:tbl>
      <w:tblPr>
        <w:tblStyle w:val="TableGrid"/>
        <w:tblW w:w="0" w:type="auto"/>
        <w:tblLook w:val="04A0"/>
      </w:tblPr>
      <w:tblGrid>
        <w:gridCol w:w="3192"/>
        <w:gridCol w:w="3192"/>
        <w:gridCol w:w="3192"/>
      </w:tblGrid>
      <w:tr w:rsidR="00E85620" w:rsidRPr="000E7ED1" w:rsidTr="000E7ED1">
        <w:tc>
          <w:tcPr>
            <w:tcW w:w="9576" w:type="dxa"/>
            <w:gridSpan w:val="3"/>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 xml:space="preserve">Population Characteristics </w:t>
            </w:r>
          </w:p>
        </w:tc>
      </w:tr>
      <w:tr w:rsidR="00E85620" w:rsidRPr="000E7ED1" w:rsidTr="00AB1821">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Characteristic</w:t>
            </w:r>
          </w:p>
        </w:tc>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Valley County</w:t>
            </w:r>
          </w:p>
        </w:tc>
        <w:tc>
          <w:tcPr>
            <w:tcW w:w="3192" w:type="dxa"/>
          </w:tcPr>
          <w:p w:rsidR="00E85620" w:rsidRPr="000E7ED1" w:rsidRDefault="00E85620" w:rsidP="00AB1821">
            <w:pPr>
              <w:jc w:val="center"/>
              <w:rPr>
                <w:rFonts w:asciiTheme="minorHAnsi" w:hAnsiTheme="minorHAnsi" w:cstheme="minorHAnsi"/>
                <w:b/>
                <w:sz w:val="18"/>
                <w:szCs w:val="18"/>
                <w:u w:val="single"/>
              </w:rPr>
            </w:pPr>
            <w:r w:rsidRPr="000E7ED1">
              <w:rPr>
                <w:rFonts w:asciiTheme="minorHAnsi" w:hAnsiTheme="minorHAnsi" w:cstheme="minorHAnsi"/>
                <w:b/>
                <w:sz w:val="18"/>
                <w:szCs w:val="18"/>
                <w:u w:val="single"/>
              </w:rPr>
              <w:t>Montana</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High school graduate or higher, percent of persons age 25 years+, 2010-2014</w:t>
            </w:r>
          </w:p>
        </w:tc>
        <w:tc>
          <w:tcPr>
            <w:tcW w:w="3192"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91.7%</w:t>
            </w:r>
          </w:p>
        </w:tc>
        <w:tc>
          <w:tcPr>
            <w:tcW w:w="3192"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92.4%</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Bachelor’s degree or higher, percent of persons age 25 years+, 2010-2014</w:t>
            </w:r>
          </w:p>
        </w:tc>
        <w:tc>
          <w:tcPr>
            <w:tcW w:w="3192"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17.0%</w:t>
            </w:r>
          </w:p>
        </w:tc>
        <w:tc>
          <w:tcPr>
            <w:tcW w:w="3192"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29.1%</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Veterans, 2010-2014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743</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91,956</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With a disability, under age of 65 years, 2010-2014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9.5%</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9.0%</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Persons without health insurance, under 65 years, percent</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23.5%</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16.9%</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Median Gross Rent, 2010-2014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$509</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$696</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Households, 2010-2014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3,181</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407,797</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Persons per household, 2010-2014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2.32</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2.40</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Persons in poverty</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12.4%</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15.4%</w:t>
            </w:r>
          </w:p>
        </w:tc>
      </w:tr>
      <w:tr w:rsidR="00E85620" w:rsidRPr="000E7ED1" w:rsidTr="00AB1821">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Unemployment</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4.2%</w:t>
            </w:r>
          </w:p>
        </w:tc>
        <w:tc>
          <w:tcPr>
            <w:tcW w:w="3192"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5.6%</w:t>
            </w:r>
          </w:p>
        </w:tc>
      </w:tr>
    </w:tbl>
    <w:p w:rsidR="00E85620" w:rsidRPr="00315A7E" w:rsidRDefault="00E85620" w:rsidP="00E85620">
      <w:pPr>
        <w:rPr>
          <w:rFonts w:cstheme="minorHAnsi"/>
          <w:b/>
          <w:sz w:val="24"/>
          <w:szCs w:val="24"/>
          <w:u w:val="single"/>
        </w:rPr>
      </w:pPr>
      <w:r w:rsidRPr="00315A7E">
        <w:rPr>
          <w:rFonts w:cstheme="minorHAnsi"/>
          <w:b/>
          <w:sz w:val="24"/>
          <w:szCs w:val="24"/>
          <w:u w:val="single"/>
        </w:rPr>
        <w:lastRenderedPageBreak/>
        <w:t>Montana Behavioral Risk Factor Surveillance System (BRFSS)</w:t>
      </w:r>
      <w:r w:rsidR="00F83559">
        <w:rPr>
          <w:rStyle w:val="EndnoteReference"/>
          <w:rFonts w:cstheme="minorHAnsi"/>
          <w:b/>
          <w:sz w:val="24"/>
          <w:szCs w:val="24"/>
          <w:u w:val="single"/>
        </w:rPr>
        <w:endnoteReference w:id="3"/>
      </w:r>
    </w:p>
    <w:p w:rsidR="00E85620" w:rsidRPr="000E7ED1" w:rsidRDefault="00E85620" w:rsidP="00E85620">
      <w:pPr>
        <w:rPr>
          <w:rFonts w:cstheme="minorHAnsi"/>
        </w:rPr>
      </w:pPr>
      <w:r w:rsidRPr="00315A7E">
        <w:rPr>
          <w:rFonts w:cstheme="minorHAnsi"/>
        </w:rPr>
        <w:t>The following table includes an overview of selected findings from the 2014 Montana BRFSS survey.  The survey is conducted through a collaborative effort with the Division of Behavioral Surveillance of the Centers for Disease Control and Prevention (CDC) and the Montana Department of Public Health and Human Services (DPHHS).  This survey provides valuable information on health trends, chronic disease risks, and data for monitoring the effectiveness of policies, programs, and interventions.  Dues to the small numbers in Montana, these indicators are reported by Health Planning Regions.</w:t>
      </w:r>
    </w:p>
    <w:tbl>
      <w:tblPr>
        <w:tblStyle w:val="TableGrid"/>
        <w:tblW w:w="0" w:type="auto"/>
        <w:jc w:val="center"/>
        <w:tblLook w:val="04A0"/>
      </w:tblPr>
      <w:tblGrid>
        <w:gridCol w:w="2781"/>
        <w:gridCol w:w="2340"/>
        <w:gridCol w:w="2061"/>
      </w:tblGrid>
      <w:tr w:rsidR="00E85620" w:rsidTr="00FA00C8">
        <w:trPr>
          <w:jc w:val="center"/>
        </w:trPr>
        <w:tc>
          <w:tcPr>
            <w:tcW w:w="2781"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Health</w:t>
            </w:r>
            <w:r w:rsidR="000E7ED1">
              <w:rPr>
                <w:rFonts w:asciiTheme="minorHAnsi" w:hAnsiTheme="minorHAnsi" w:cstheme="minorHAnsi"/>
                <w:b/>
                <w:sz w:val="18"/>
                <w:szCs w:val="18"/>
              </w:rPr>
              <w:t xml:space="preserve"> Status</w:t>
            </w:r>
            <w:r w:rsidRPr="000E7ED1">
              <w:rPr>
                <w:rFonts w:asciiTheme="minorHAnsi" w:hAnsiTheme="minorHAnsi" w:cstheme="minorHAnsi"/>
                <w:b/>
                <w:sz w:val="18"/>
                <w:szCs w:val="18"/>
              </w:rPr>
              <w:t xml:space="preserve"> Indicator</w:t>
            </w:r>
          </w:p>
        </w:tc>
        <w:tc>
          <w:tcPr>
            <w:tcW w:w="2340"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Eastern Montana Region</w:t>
            </w:r>
          </w:p>
        </w:tc>
        <w:tc>
          <w:tcPr>
            <w:tcW w:w="2061"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Montana</w:t>
            </w:r>
          </w:p>
        </w:tc>
      </w:tr>
      <w:tr w:rsidR="000E7ED1" w:rsidTr="00C67FAB">
        <w:trPr>
          <w:jc w:val="center"/>
        </w:trPr>
        <w:tc>
          <w:tcPr>
            <w:tcW w:w="2781" w:type="dxa"/>
          </w:tcPr>
          <w:p w:rsidR="000E7ED1" w:rsidRPr="000E7ED1" w:rsidRDefault="000E7ED1" w:rsidP="000E7ED1">
            <w:pPr>
              <w:rPr>
                <w:rFonts w:asciiTheme="minorHAnsi" w:hAnsiTheme="minorHAnsi" w:cstheme="minorHAnsi"/>
                <w:b/>
                <w:sz w:val="18"/>
                <w:szCs w:val="18"/>
              </w:rPr>
            </w:pPr>
            <w:r w:rsidRPr="000E7ED1">
              <w:rPr>
                <w:rFonts w:asciiTheme="minorHAnsi" w:hAnsiTheme="minorHAnsi" w:cstheme="minorHAnsi"/>
                <w:sz w:val="18"/>
                <w:szCs w:val="18"/>
              </w:rPr>
              <w:t>Self-Reported “Fair” or “Poor” Health</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15.7%</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15.4%</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Frequent Poor Physical Health</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9.4%</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12.5%</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Frequent Poor Mental Health</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10.2%</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9.9%</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Frequent Activity Limitation</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11.3%</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16.0%</w:t>
            </w:r>
          </w:p>
        </w:tc>
      </w:tr>
      <w:tr w:rsidR="000E7ED1" w:rsidTr="00C67FAB">
        <w:trPr>
          <w:jc w:val="center"/>
        </w:trPr>
        <w:tc>
          <w:tcPr>
            <w:tcW w:w="2781" w:type="dxa"/>
            <w:shd w:val="clear" w:color="auto" w:fill="DDDDDD" w:themeFill="accent1"/>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b/>
                <w:sz w:val="18"/>
                <w:szCs w:val="18"/>
              </w:rPr>
              <w:t>Health Care Indicators</w:t>
            </w:r>
          </w:p>
        </w:tc>
        <w:tc>
          <w:tcPr>
            <w:tcW w:w="2340"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c>
          <w:tcPr>
            <w:tcW w:w="2061"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r>
      <w:tr w:rsidR="000E7ED1" w:rsidTr="00C67FAB">
        <w:trPr>
          <w:jc w:val="center"/>
        </w:trPr>
        <w:tc>
          <w:tcPr>
            <w:tcW w:w="2781" w:type="dxa"/>
          </w:tcPr>
          <w:p w:rsidR="000E7ED1" w:rsidRPr="000E7ED1" w:rsidRDefault="000E7ED1" w:rsidP="000E7ED1">
            <w:pPr>
              <w:rPr>
                <w:rFonts w:asciiTheme="minorHAnsi" w:hAnsiTheme="minorHAnsi" w:cstheme="minorHAnsi"/>
                <w:b/>
                <w:sz w:val="18"/>
                <w:szCs w:val="18"/>
              </w:rPr>
            </w:pPr>
            <w:r w:rsidRPr="000E7ED1">
              <w:rPr>
                <w:rFonts w:asciiTheme="minorHAnsi" w:hAnsiTheme="minorHAnsi" w:cstheme="minorHAnsi"/>
                <w:sz w:val="18"/>
                <w:szCs w:val="18"/>
              </w:rPr>
              <w:t>No Health Care Coverage           (ages 18-64)</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12.1%</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16.1%</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Couldn’t Afford to See Doctor       (past 12 months)</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8.6%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11.9%</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Personal Healthcare Provider</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33.2%</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29.1%</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Routine Checkup in the Past Year</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37.9%</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36.4%</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Dental Visit in the Past Year</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42.6%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37.4%</w:t>
            </w:r>
          </w:p>
        </w:tc>
      </w:tr>
      <w:tr w:rsidR="000E7ED1" w:rsidTr="00C67FAB">
        <w:trPr>
          <w:jc w:val="center"/>
        </w:trPr>
        <w:tc>
          <w:tcPr>
            <w:tcW w:w="2781" w:type="dxa"/>
            <w:shd w:val="clear" w:color="auto" w:fill="DDDDDD" w:themeFill="accent1"/>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b/>
                <w:sz w:val="18"/>
                <w:szCs w:val="18"/>
              </w:rPr>
              <w:t>Clinical Preventive Practices</w:t>
            </w:r>
          </w:p>
        </w:tc>
        <w:tc>
          <w:tcPr>
            <w:tcW w:w="2340"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c>
          <w:tcPr>
            <w:tcW w:w="2061"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r>
      <w:tr w:rsidR="000E7ED1" w:rsidTr="00C67FAB">
        <w:trPr>
          <w:jc w:val="center"/>
        </w:trPr>
        <w:tc>
          <w:tcPr>
            <w:tcW w:w="2781" w:type="dxa"/>
          </w:tcPr>
          <w:p w:rsidR="000E7ED1" w:rsidRPr="000E7ED1" w:rsidRDefault="000E7ED1" w:rsidP="000E7ED1">
            <w:pPr>
              <w:rPr>
                <w:rFonts w:asciiTheme="minorHAnsi" w:hAnsiTheme="minorHAnsi" w:cstheme="minorHAnsi"/>
                <w:b/>
                <w:sz w:val="18"/>
                <w:szCs w:val="18"/>
              </w:rPr>
            </w:pPr>
            <w:r w:rsidRPr="000E7ED1">
              <w:rPr>
                <w:rFonts w:asciiTheme="minorHAnsi" w:hAnsiTheme="minorHAnsi" w:cstheme="minorHAnsi"/>
                <w:sz w:val="18"/>
                <w:szCs w:val="18"/>
              </w:rPr>
              <w:t>No Mammogram in Past 2 years (women ages 50+)</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30.2%</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28.0%</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Mammogram Ever</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7.6%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4.8%</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Pap Test in Past 3 years   (women ages 18+)</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29.1%</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25.4%</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Colonoscopy in Past 10 years (ages 50-75)</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52.3%</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41.2%</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No Up-To-Date Colorectal Cancer Screening (ages 50-75)</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46.9%</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37.6%</w:t>
            </w:r>
          </w:p>
        </w:tc>
      </w:tr>
      <w:tr w:rsidR="000E7ED1" w:rsidTr="00C67FAB">
        <w:trPr>
          <w:jc w:val="center"/>
        </w:trPr>
        <w:tc>
          <w:tcPr>
            <w:tcW w:w="2781" w:type="dxa"/>
            <w:shd w:val="clear" w:color="auto" w:fill="DDDDDD" w:themeFill="accent1"/>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b/>
                <w:sz w:val="18"/>
                <w:szCs w:val="18"/>
              </w:rPr>
              <w:t>Health Related Risk Behaviors</w:t>
            </w:r>
          </w:p>
        </w:tc>
        <w:tc>
          <w:tcPr>
            <w:tcW w:w="2340"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c>
          <w:tcPr>
            <w:tcW w:w="2061"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r>
      <w:tr w:rsidR="000E7ED1" w:rsidTr="00C67FAB">
        <w:trPr>
          <w:jc w:val="center"/>
        </w:trPr>
        <w:tc>
          <w:tcPr>
            <w:tcW w:w="2781" w:type="dxa"/>
          </w:tcPr>
          <w:p w:rsidR="000E7ED1" w:rsidRPr="000E7ED1" w:rsidRDefault="000E7ED1" w:rsidP="000E7ED1">
            <w:pPr>
              <w:rPr>
                <w:rFonts w:asciiTheme="minorHAnsi" w:hAnsiTheme="minorHAnsi" w:cstheme="minorHAnsi"/>
                <w:b/>
                <w:sz w:val="18"/>
                <w:szCs w:val="18"/>
              </w:rPr>
            </w:pPr>
            <w:r w:rsidRPr="000E7ED1">
              <w:rPr>
                <w:rFonts w:asciiTheme="minorHAnsi" w:hAnsiTheme="minorHAnsi" w:cstheme="minorHAnsi"/>
                <w:sz w:val="18"/>
                <w:szCs w:val="18"/>
              </w:rPr>
              <w:t>No Leisure-Time Physical Activity in Past 30 Days</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24.8%</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19.6%</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Overweight                                     (25.0≤ BMI &lt; 30.0)</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41.6%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36.6%</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Obese                                               (BMI ≥ 30.0)</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33.6%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26.4%</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Current Smokers</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22.0%</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19.9%</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Current Smokeless Tobacco Users</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12.0%</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7.6%</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Does Not Always Wear Seat Belt</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45.6%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27.9%</w:t>
            </w:r>
          </w:p>
        </w:tc>
      </w:tr>
      <w:tr w:rsidR="000E7ED1" w:rsidTr="00C67FAB">
        <w:trPr>
          <w:jc w:val="center"/>
        </w:trPr>
        <w:tc>
          <w:tcPr>
            <w:tcW w:w="2781" w:type="dxa"/>
            <w:shd w:val="clear" w:color="auto" w:fill="DDDDDD" w:themeFill="accent1"/>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b/>
                <w:sz w:val="18"/>
                <w:szCs w:val="18"/>
              </w:rPr>
              <w:t>Chronic Health Conditions</w:t>
            </w:r>
          </w:p>
        </w:tc>
        <w:tc>
          <w:tcPr>
            <w:tcW w:w="2340"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c>
          <w:tcPr>
            <w:tcW w:w="2061" w:type="dxa"/>
            <w:shd w:val="clear" w:color="auto" w:fill="DDDDDD" w:themeFill="accent1"/>
            <w:vAlign w:val="center"/>
          </w:tcPr>
          <w:p w:rsidR="000E7ED1" w:rsidRPr="000E7ED1" w:rsidRDefault="000E7ED1" w:rsidP="00AB1821">
            <w:pPr>
              <w:jc w:val="center"/>
              <w:rPr>
                <w:rFonts w:asciiTheme="minorHAnsi" w:hAnsiTheme="minorHAnsi" w:cstheme="minorHAnsi"/>
                <w:sz w:val="18"/>
                <w:szCs w:val="18"/>
              </w:rPr>
            </w:pPr>
          </w:p>
        </w:tc>
      </w:tr>
      <w:tr w:rsidR="000E7ED1" w:rsidTr="00C67FAB">
        <w:trPr>
          <w:jc w:val="center"/>
        </w:trPr>
        <w:tc>
          <w:tcPr>
            <w:tcW w:w="2781" w:type="dxa"/>
          </w:tcPr>
          <w:p w:rsidR="000E7ED1" w:rsidRPr="000E7ED1" w:rsidRDefault="000E7ED1" w:rsidP="000E7ED1">
            <w:pPr>
              <w:rPr>
                <w:rFonts w:asciiTheme="minorHAnsi" w:hAnsiTheme="minorHAnsi" w:cstheme="minorHAnsi"/>
                <w:b/>
                <w:sz w:val="18"/>
                <w:szCs w:val="18"/>
              </w:rPr>
            </w:pPr>
            <w:r w:rsidRPr="000E7ED1">
              <w:rPr>
                <w:rFonts w:asciiTheme="minorHAnsi" w:hAnsiTheme="minorHAnsi" w:cstheme="minorHAnsi"/>
                <w:sz w:val="18"/>
                <w:szCs w:val="18"/>
              </w:rPr>
              <w:t>Ever Diagnosed with Asthma</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15.6%</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13.4%</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Currently has Asthma</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9.7%</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9.6%</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Ever Diagnosed with a Heart Attack</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5.3%</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4.2%</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Ever Diagnosed with Angina or CHD</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5.1%</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3.6%</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Ever Diagnosed with a Stroke</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2.7%</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2.7%</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Ever Diagnosed with Diabetes</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9.5%</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8.8%</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Ever Diagnosed with a Depressive Disorder</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18.4%</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20.4%</w:t>
            </w:r>
          </w:p>
        </w:tc>
      </w:tr>
      <w:tr w:rsidR="000E7ED1" w:rsidTr="00AB1821">
        <w:trPr>
          <w:jc w:val="center"/>
        </w:trPr>
        <w:tc>
          <w:tcPr>
            <w:tcW w:w="2781" w:type="dxa"/>
          </w:tcPr>
          <w:p w:rsidR="000E7ED1" w:rsidRPr="000E7ED1" w:rsidRDefault="000E7ED1" w:rsidP="000E7ED1">
            <w:pPr>
              <w:rPr>
                <w:rFonts w:asciiTheme="minorHAnsi" w:hAnsiTheme="minorHAnsi" w:cstheme="minorHAnsi"/>
                <w:sz w:val="18"/>
                <w:szCs w:val="18"/>
              </w:rPr>
            </w:pPr>
            <w:r w:rsidRPr="000E7ED1">
              <w:rPr>
                <w:rFonts w:asciiTheme="minorHAnsi" w:hAnsiTheme="minorHAnsi" w:cstheme="minorHAnsi"/>
                <w:sz w:val="18"/>
                <w:szCs w:val="18"/>
              </w:rPr>
              <w:t>Ever Diagnosed with Kidney Disease</w:t>
            </w:r>
          </w:p>
        </w:tc>
        <w:tc>
          <w:tcPr>
            <w:tcW w:w="2340"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3.0%</w:t>
            </w:r>
          </w:p>
        </w:tc>
        <w:tc>
          <w:tcPr>
            <w:tcW w:w="2061" w:type="dxa"/>
            <w:vAlign w:val="center"/>
          </w:tcPr>
          <w:p w:rsidR="000E7ED1" w:rsidRPr="000E7ED1" w:rsidRDefault="000E7ED1" w:rsidP="00AB1821">
            <w:pPr>
              <w:jc w:val="center"/>
              <w:rPr>
                <w:rFonts w:asciiTheme="minorHAnsi" w:hAnsiTheme="minorHAnsi" w:cstheme="minorHAnsi"/>
                <w:sz w:val="18"/>
                <w:szCs w:val="18"/>
              </w:rPr>
            </w:pPr>
            <w:r w:rsidRPr="000E7ED1">
              <w:rPr>
                <w:rFonts w:asciiTheme="minorHAnsi" w:hAnsiTheme="minorHAnsi" w:cstheme="minorHAnsi"/>
                <w:sz w:val="18"/>
                <w:szCs w:val="18"/>
              </w:rPr>
              <w:t>2.6%</w:t>
            </w:r>
          </w:p>
        </w:tc>
      </w:tr>
    </w:tbl>
    <w:p w:rsidR="000E7ED1" w:rsidRDefault="000E7ED1" w:rsidP="00E85620">
      <w:pPr>
        <w:rPr>
          <w:rFonts w:cstheme="minorHAnsi"/>
          <w:b/>
          <w:sz w:val="24"/>
          <w:u w:val="single"/>
        </w:rPr>
      </w:pPr>
    </w:p>
    <w:p w:rsidR="00E85620" w:rsidRPr="00315A7E" w:rsidRDefault="00E85620" w:rsidP="00E85620">
      <w:pPr>
        <w:rPr>
          <w:rFonts w:cstheme="minorHAnsi"/>
          <w:b/>
          <w:sz w:val="24"/>
          <w:u w:val="single"/>
        </w:rPr>
      </w:pPr>
      <w:r w:rsidRPr="00315A7E">
        <w:rPr>
          <w:rFonts w:cstheme="minorHAnsi"/>
          <w:b/>
          <w:sz w:val="24"/>
          <w:u w:val="single"/>
        </w:rPr>
        <w:lastRenderedPageBreak/>
        <w:t>County Health Rankings and Roadmaps</w:t>
      </w:r>
      <w:r w:rsidR="00F83559">
        <w:rPr>
          <w:rStyle w:val="EndnoteReference"/>
          <w:rFonts w:cstheme="minorHAnsi"/>
          <w:b/>
          <w:sz w:val="24"/>
          <w:u w:val="single"/>
        </w:rPr>
        <w:endnoteReference w:id="4"/>
      </w:r>
    </w:p>
    <w:p w:rsidR="00E85620" w:rsidRPr="00315A7E" w:rsidRDefault="00E85620" w:rsidP="00E85620">
      <w:pPr>
        <w:rPr>
          <w:rFonts w:cstheme="minorHAnsi"/>
          <w:lang/>
        </w:rPr>
      </w:pPr>
      <w:r w:rsidRPr="00315A7E">
        <w:rPr>
          <w:rFonts w:cstheme="minorHAnsi"/>
          <w:lang/>
        </w:rPr>
        <w:t xml:space="preserve">The </w:t>
      </w:r>
      <w:r w:rsidRPr="00315A7E">
        <w:rPr>
          <w:rFonts w:cstheme="minorHAnsi"/>
          <w:i/>
          <w:iCs/>
          <w:lang/>
        </w:rPr>
        <w:t>County Health Rankings &amp; Roadmaps</w:t>
      </w:r>
      <w:r w:rsidRPr="00315A7E">
        <w:rPr>
          <w:rFonts w:cstheme="minorHAnsi"/>
          <w:lang/>
        </w:rPr>
        <w:t> program is a collaboration between the</w:t>
      </w:r>
      <w:hyperlink r:id="rId15" w:history="1">
        <w:r w:rsidRPr="00315A7E">
          <w:rPr>
            <w:rStyle w:val="Hyperlink"/>
            <w:rFonts w:cstheme="minorHAnsi"/>
            <w:lang/>
          </w:rPr>
          <w:t xml:space="preserve"> Robert Wood Johnson Foundation</w:t>
        </w:r>
      </w:hyperlink>
      <w:r w:rsidRPr="00315A7E">
        <w:rPr>
          <w:rFonts w:cstheme="minorHAnsi"/>
          <w:lang/>
        </w:rPr>
        <w:t xml:space="preserve"> and the </w:t>
      </w:r>
      <w:hyperlink r:id="rId16" w:history="1">
        <w:r w:rsidRPr="00315A7E">
          <w:rPr>
            <w:rStyle w:val="Hyperlink"/>
            <w:rFonts w:cstheme="minorHAnsi"/>
            <w:lang/>
          </w:rPr>
          <w:t>University of Wisconsin Population Health Institute</w:t>
        </w:r>
      </w:hyperlink>
      <w:r w:rsidRPr="00315A7E">
        <w:rPr>
          <w:rFonts w:cstheme="minorHAnsi"/>
          <w:lang/>
        </w:rPr>
        <w:t xml:space="preserve">. The </w:t>
      </w:r>
      <w:r w:rsidRPr="00315A7E">
        <w:rPr>
          <w:rFonts w:cstheme="minorHAnsi"/>
          <w:i/>
          <w:iCs/>
          <w:lang/>
        </w:rPr>
        <w:t>County Health Rankings</w:t>
      </w:r>
      <w:r w:rsidRPr="00315A7E">
        <w:rPr>
          <w:rFonts w:cstheme="minorHAnsi"/>
          <w:lang/>
        </w:rPr>
        <w:t xml:space="preserve"> measure the health of nearly all counties in the nation and rank them within states.  The </w:t>
      </w:r>
      <w:r w:rsidRPr="00315A7E">
        <w:rPr>
          <w:rFonts w:cstheme="minorHAnsi"/>
          <w:i/>
          <w:iCs/>
          <w:lang/>
        </w:rPr>
        <w:t xml:space="preserve">Rankings </w:t>
      </w:r>
      <w:r w:rsidRPr="00315A7E">
        <w:rPr>
          <w:rFonts w:cstheme="minorHAnsi"/>
          <w:lang/>
        </w:rPr>
        <w:t xml:space="preserve">are compiled using county-level measures from a variety of national and state data sources. These measures are standardized and combined using scientifically-informed weights.  The annual </w:t>
      </w:r>
      <w:r w:rsidRPr="00315A7E">
        <w:rPr>
          <w:rFonts w:cstheme="minorHAnsi"/>
          <w:i/>
          <w:iCs/>
          <w:lang/>
        </w:rPr>
        <w:t>Rankings</w:t>
      </w:r>
      <w:r w:rsidRPr="00315A7E">
        <w:rPr>
          <w:rFonts w:cstheme="minorHAnsi"/>
          <w:lang/>
        </w:rPr>
        <w:t xml:space="preserve"> provide a revealing snapshot of how health is influenced by where we live, learn, work and play.</w:t>
      </w:r>
    </w:p>
    <w:p w:rsidR="00E85620" w:rsidRPr="00BA7925" w:rsidRDefault="00E85620" w:rsidP="00E85620">
      <w:pPr>
        <w:rPr>
          <w:rFonts w:ascii="Garamond" w:hAnsi="Garamond"/>
        </w:rPr>
      </w:pPr>
    </w:p>
    <w:tbl>
      <w:tblPr>
        <w:tblStyle w:val="TableGrid"/>
        <w:tblW w:w="0" w:type="auto"/>
        <w:jc w:val="center"/>
        <w:tblLook w:val="04A0"/>
      </w:tblPr>
      <w:tblGrid>
        <w:gridCol w:w="2601"/>
        <w:gridCol w:w="2340"/>
        <w:gridCol w:w="2241"/>
      </w:tblGrid>
      <w:tr w:rsidR="00E85620" w:rsidTr="00FA00C8">
        <w:trPr>
          <w:jc w:val="center"/>
        </w:trPr>
        <w:tc>
          <w:tcPr>
            <w:tcW w:w="2601"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Health</w:t>
            </w:r>
            <w:r w:rsidR="000E7ED1">
              <w:rPr>
                <w:rFonts w:asciiTheme="minorHAnsi" w:hAnsiTheme="minorHAnsi" w:cstheme="minorHAnsi"/>
                <w:b/>
                <w:sz w:val="18"/>
                <w:szCs w:val="18"/>
              </w:rPr>
              <w:t xml:space="preserve"> Status</w:t>
            </w:r>
            <w:r w:rsidRPr="000E7ED1">
              <w:rPr>
                <w:rFonts w:asciiTheme="minorHAnsi" w:hAnsiTheme="minorHAnsi" w:cstheme="minorHAnsi"/>
                <w:b/>
                <w:sz w:val="18"/>
                <w:szCs w:val="18"/>
              </w:rPr>
              <w:t xml:space="preserve"> Indicator</w:t>
            </w:r>
          </w:p>
        </w:tc>
        <w:tc>
          <w:tcPr>
            <w:tcW w:w="2340"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Valley County</w:t>
            </w:r>
          </w:p>
        </w:tc>
        <w:tc>
          <w:tcPr>
            <w:tcW w:w="2241"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Montana</w:t>
            </w:r>
          </w:p>
        </w:tc>
      </w:tr>
      <w:tr w:rsidR="00E85620" w:rsidTr="00FA00C8">
        <w:trPr>
          <w:jc w:val="center"/>
        </w:trPr>
        <w:tc>
          <w:tcPr>
            <w:tcW w:w="2601" w:type="dxa"/>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Quality of Life</w:t>
            </w:r>
          </w:p>
        </w:tc>
        <w:tc>
          <w:tcPr>
            <w:tcW w:w="2340"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c>
          <w:tcPr>
            <w:tcW w:w="2241"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Poor or fair health</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17%</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14%</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Poor physical health days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3.0</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3.5</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Poor mental health days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3.2</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3.3</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Low Birthweight</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6.0%</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7.3%</w:t>
            </w:r>
          </w:p>
        </w:tc>
      </w:tr>
      <w:tr w:rsidR="00E85620" w:rsidTr="00FA00C8">
        <w:trPr>
          <w:jc w:val="center"/>
        </w:trPr>
        <w:tc>
          <w:tcPr>
            <w:tcW w:w="2601" w:type="dxa"/>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Health Behaviors</w:t>
            </w:r>
          </w:p>
        </w:tc>
        <w:tc>
          <w:tcPr>
            <w:tcW w:w="2340"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c>
          <w:tcPr>
            <w:tcW w:w="2241"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Adult Smoking</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18%</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18.%</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Adult Obesity</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29%</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24%</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Physical Inactivity</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30%</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22%</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Access to exercise opportunities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40%</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72%</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Excessive drinking</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22%</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19%</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Teen births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27</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35</w:t>
            </w:r>
          </w:p>
        </w:tc>
      </w:tr>
      <w:tr w:rsidR="00E85620" w:rsidTr="00FA00C8">
        <w:trPr>
          <w:jc w:val="center"/>
        </w:trPr>
        <w:tc>
          <w:tcPr>
            <w:tcW w:w="2601" w:type="dxa"/>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Clinical Care</w:t>
            </w:r>
          </w:p>
        </w:tc>
        <w:tc>
          <w:tcPr>
            <w:tcW w:w="2340"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c>
          <w:tcPr>
            <w:tcW w:w="2241"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Uninsured</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24%</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22%</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Primary Care Physician</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1,251:1</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1,305:1</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Dentists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3,815:1</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1,504:1</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Mental Health Providers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1,526:1</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428:1</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Preventable Hospital Stays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50</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47</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Diabetic Monitoring</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82%</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82%</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Mammography Screening</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51.3%</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64.2%</w:t>
            </w:r>
          </w:p>
        </w:tc>
      </w:tr>
      <w:tr w:rsidR="00E85620" w:rsidTr="00FA00C8">
        <w:trPr>
          <w:jc w:val="center"/>
        </w:trPr>
        <w:tc>
          <w:tcPr>
            <w:tcW w:w="2601" w:type="dxa"/>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Social Economic Factors</w:t>
            </w:r>
          </w:p>
        </w:tc>
        <w:tc>
          <w:tcPr>
            <w:tcW w:w="2340"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c>
          <w:tcPr>
            <w:tcW w:w="2241"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Children in Poverty</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19%</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21%</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Children in single-parent households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37%</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29%</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Social Associations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24.0</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14.3</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Injury Deaths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73</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88</w:t>
            </w:r>
          </w:p>
        </w:tc>
      </w:tr>
      <w:tr w:rsidR="00E85620" w:rsidTr="00FA00C8">
        <w:trPr>
          <w:jc w:val="center"/>
        </w:trPr>
        <w:tc>
          <w:tcPr>
            <w:tcW w:w="2601" w:type="dxa"/>
            <w:shd w:val="clear" w:color="auto" w:fill="DDDDDD" w:themeFill="accent1"/>
          </w:tcPr>
          <w:p w:rsidR="00E85620" w:rsidRPr="000E7ED1" w:rsidRDefault="00E85620" w:rsidP="00AB1821">
            <w:pPr>
              <w:jc w:val="center"/>
              <w:rPr>
                <w:rFonts w:asciiTheme="minorHAnsi" w:hAnsiTheme="minorHAnsi" w:cstheme="minorHAnsi"/>
                <w:b/>
                <w:sz w:val="18"/>
                <w:szCs w:val="18"/>
              </w:rPr>
            </w:pPr>
            <w:r w:rsidRPr="000E7ED1">
              <w:rPr>
                <w:rFonts w:asciiTheme="minorHAnsi" w:hAnsiTheme="minorHAnsi" w:cstheme="minorHAnsi"/>
                <w:b/>
                <w:sz w:val="18"/>
                <w:szCs w:val="18"/>
              </w:rPr>
              <w:t>Physical Environment</w:t>
            </w:r>
          </w:p>
        </w:tc>
        <w:tc>
          <w:tcPr>
            <w:tcW w:w="2340"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c>
          <w:tcPr>
            <w:tcW w:w="2241" w:type="dxa"/>
            <w:shd w:val="clear" w:color="auto" w:fill="DDDDDD" w:themeFill="accent1"/>
            <w:vAlign w:val="center"/>
          </w:tcPr>
          <w:p w:rsidR="00E85620" w:rsidRPr="000E7ED1" w:rsidRDefault="00E85620" w:rsidP="00AB1821">
            <w:pPr>
              <w:jc w:val="center"/>
              <w:rPr>
                <w:rFonts w:asciiTheme="minorHAnsi" w:hAnsiTheme="minorHAnsi" w:cstheme="minorHAnsi"/>
                <w:sz w:val="18"/>
                <w:szCs w:val="18"/>
              </w:rPr>
            </w:pP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Severe Housing Problems</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9%</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15%</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Driving Alone to Work</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78%</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75%</w:t>
            </w:r>
          </w:p>
        </w:tc>
      </w:tr>
      <w:tr w:rsidR="00E85620" w:rsidTr="00AB1821">
        <w:trPr>
          <w:jc w:val="center"/>
        </w:trPr>
        <w:tc>
          <w:tcPr>
            <w:tcW w:w="2601" w:type="dxa"/>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Long Commute-Driving Alone</w:t>
            </w:r>
          </w:p>
        </w:tc>
        <w:tc>
          <w:tcPr>
            <w:tcW w:w="2340"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16%</w:t>
            </w:r>
          </w:p>
        </w:tc>
        <w:tc>
          <w:tcPr>
            <w:tcW w:w="2241" w:type="dxa"/>
            <w:vAlign w:val="center"/>
          </w:tcPr>
          <w:p w:rsidR="00E85620" w:rsidRPr="000E7ED1" w:rsidRDefault="00E85620" w:rsidP="00AB1821">
            <w:pPr>
              <w:jc w:val="center"/>
              <w:rPr>
                <w:rFonts w:asciiTheme="minorHAnsi" w:hAnsiTheme="minorHAnsi" w:cstheme="minorHAnsi"/>
                <w:sz w:val="18"/>
                <w:szCs w:val="18"/>
              </w:rPr>
            </w:pPr>
            <w:r w:rsidRPr="000E7ED1">
              <w:rPr>
                <w:rFonts w:asciiTheme="minorHAnsi" w:hAnsiTheme="minorHAnsi" w:cstheme="minorHAnsi"/>
                <w:sz w:val="18"/>
                <w:szCs w:val="18"/>
              </w:rPr>
              <w:t>16%</w:t>
            </w:r>
          </w:p>
        </w:tc>
      </w:tr>
    </w:tbl>
    <w:p w:rsidR="00E85620" w:rsidRDefault="00E85620" w:rsidP="00E85620">
      <w:pPr>
        <w:rPr>
          <w:rFonts w:ascii="Garamond" w:hAnsi="Garamond"/>
          <w:b/>
          <w:highlight w:val="yellow"/>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0E7ED1" w:rsidRDefault="000E7ED1" w:rsidP="00E85620">
      <w:pPr>
        <w:rPr>
          <w:rFonts w:ascii="Garamond" w:hAnsi="Garamond"/>
          <w:b/>
          <w:u w:val="single"/>
        </w:rPr>
      </w:pPr>
    </w:p>
    <w:p w:rsidR="00E85620" w:rsidRPr="00315A7E" w:rsidRDefault="00E85620" w:rsidP="00E85620">
      <w:pPr>
        <w:rPr>
          <w:rFonts w:cstheme="minorHAnsi"/>
          <w:b/>
          <w:sz w:val="24"/>
          <w:u w:val="single"/>
        </w:rPr>
      </w:pPr>
      <w:r w:rsidRPr="00315A7E">
        <w:rPr>
          <w:rFonts w:cstheme="minorHAnsi"/>
          <w:b/>
          <w:sz w:val="24"/>
          <w:u w:val="single"/>
        </w:rPr>
        <w:lastRenderedPageBreak/>
        <w:t>Montana County Health Profiles 2015</w:t>
      </w:r>
      <w:r w:rsidR="00F83559">
        <w:rPr>
          <w:rStyle w:val="EndnoteReference"/>
          <w:rFonts w:cstheme="minorHAnsi"/>
          <w:b/>
          <w:sz w:val="24"/>
          <w:u w:val="single"/>
        </w:rPr>
        <w:endnoteReference w:id="5"/>
      </w:r>
    </w:p>
    <w:p w:rsidR="00E85620" w:rsidRPr="00315A7E" w:rsidRDefault="00E85620" w:rsidP="00E85620">
      <w:pPr>
        <w:rPr>
          <w:rFonts w:cstheme="minorHAnsi"/>
        </w:rPr>
      </w:pPr>
      <w:r w:rsidRPr="00315A7E">
        <w:rPr>
          <w:rFonts w:cstheme="minorHAnsi"/>
        </w:rPr>
        <w:t xml:space="preserve">The Montana Department of Public Health and Human Services developed the County Health Profiles.  The information below includes cancer data from the Montana Central Tumor Registry (MCTR).  Immunization data was obtained from the Vaccines for Children (VFC) Program clinic reviews conducted every other year.  The Montana Hospital Association provided access to emergency department visit and inpatient hospitalization data in the MHDDS, which is based on the 2004 Uniform Billing form, with ICD-9 CM coded primary and secondary diagnoses. The ICD9-CM codes can be found at </w:t>
      </w:r>
      <w:hyperlink r:id="rId17" w:history="1">
        <w:r w:rsidRPr="00315A7E">
          <w:rPr>
            <w:rStyle w:val="Hyperlink"/>
            <w:rFonts w:cstheme="minorHAnsi"/>
          </w:rPr>
          <w:t>http://www.cms.gov/medicare-coverage-database/staticpages/icd-9-code-lookup.aspx</w:t>
        </w:r>
      </w:hyperlink>
      <w:r w:rsidRPr="00315A7E">
        <w:rPr>
          <w:rFonts w:cstheme="minorHAnsi"/>
        </w:rPr>
        <w:t>.  Only persons hospitalized or visiting an emergency department recorded as residents of Montana during 2011–2013 were included in the analyses.</w:t>
      </w:r>
    </w:p>
    <w:p w:rsidR="00E85620" w:rsidRDefault="00E85620" w:rsidP="00E85620">
      <w:pPr>
        <w:jc w:val="center"/>
        <w:rPr>
          <w:b/>
          <w:bCs/>
        </w:rPr>
      </w:pPr>
      <w:r>
        <w:rPr>
          <w:rFonts w:ascii="Garamond" w:hAnsi="Garamond"/>
          <w:b/>
          <w:noProof/>
          <w:sz w:val="20"/>
          <w:u w:val="single"/>
        </w:rPr>
        <w:drawing>
          <wp:inline distT="0" distB="0" distL="0" distR="0">
            <wp:extent cx="4257675" cy="251002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C5351.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881" cy="2504842"/>
                    </a:xfrm>
                    <a:prstGeom prst="rect">
                      <a:avLst/>
                    </a:prstGeom>
                  </pic:spPr>
                </pic:pic>
              </a:graphicData>
            </a:graphic>
          </wp:inline>
        </w:drawing>
      </w:r>
    </w:p>
    <w:p w:rsidR="00E85620" w:rsidRDefault="00E85620" w:rsidP="00E85620">
      <w:pPr>
        <w:spacing w:after="0"/>
        <w:jc w:val="center"/>
        <w:rPr>
          <w:rFonts w:ascii="Garamond" w:hAnsi="Garamond"/>
          <w:b/>
          <w:bCs/>
        </w:rPr>
      </w:pPr>
    </w:p>
    <w:p w:rsidR="00E85620" w:rsidRDefault="00E85620" w:rsidP="00E85620">
      <w:pPr>
        <w:spacing w:after="0"/>
        <w:jc w:val="center"/>
        <w:rPr>
          <w:rFonts w:ascii="Garamond" w:hAnsi="Garamond"/>
          <w:b/>
          <w:bCs/>
        </w:rPr>
      </w:pPr>
      <w:r>
        <w:rPr>
          <w:rFonts w:ascii="Garamond" w:hAnsi="Garamond"/>
          <w:b/>
          <w:bCs/>
          <w:noProof/>
        </w:rPr>
        <w:drawing>
          <wp:inline distT="0" distB="0" distL="0" distR="0">
            <wp:extent cx="4575200" cy="3514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9283.tmp"/>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1440" cy="3519518"/>
                    </a:xfrm>
                    <a:prstGeom prst="rect">
                      <a:avLst/>
                    </a:prstGeom>
                  </pic:spPr>
                </pic:pic>
              </a:graphicData>
            </a:graphic>
          </wp:inline>
        </w:drawing>
      </w:r>
    </w:p>
    <w:p w:rsidR="00E85620" w:rsidRDefault="00E85620" w:rsidP="00E85620">
      <w:pPr>
        <w:spacing w:after="0"/>
        <w:jc w:val="center"/>
        <w:rPr>
          <w:rFonts w:ascii="Garamond" w:hAnsi="Garamond"/>
          <w:b/>
          <w:bCs/>
        </w:rPr>
      </w:pPr>
    </w:p>
    <w:p w:rsidR="00E85620" w:rsidRDefault="00E85620" w:rsidP="00E85620">
      <w:pPr>
        <w:jc w:val="center"/>
        <w:rPr>
          <w:b/>
          <w:bCs/>
        </w:rPr>
      </w:pPr>
      <w:r>
        <w:rPr>
          <w:b/>
          <w:bCs/>
          <w:noProof/>
        </w:rPr>
        <w:drawing>
          <wp:inline distT="0" distB="0" distL="0" distR="0">
            <wp:extent cx="4492918" cy="40100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BF5B.t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0525" cy="4016814"/>
                    </a:xfrm>
                    <a:prstGeom prst="rect">
                      <a:avLst/>
                    </a:prstGeom>
                  </pic:spPr>
                </pic:pic>
              </a:graphicData>
            </a:graphic>
          </wp:inline>
        </w:drawing>
      </w:r>
    </w:p>
    <w:p w:rsidR="00E85620" w:rsidRDefault="00E85620" w:rsidP="00E85620">
      <w:pPr>
        <w:jc w:val="center"/>
        <w:rPr>
          <w:rFonts w:ascii="Garamond" w:hAnsi="Garamond"/>
          <w:b/>
          <w:u w:val="single"/>
        </w:rPr>
      </w:pPr>
      <w:r>
        <w:rPr>
          <w:rFonts w:ascii="Garamond" w:hAnsi="Garamond"/>
          <w:b/>
          <w:noProof/>
          <w:u w:val="single"/>
        </w:rPr>
        <w:drawing>
          <wp:inline distT="0" distB="0" distL="0" distR="0">
            <wp:extent cx="4499125" cy="408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7BE7.tmp"/>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8539" cy="4085692"/>
                    </a:xfrm>
                    <a:prstGeom prst="rect">
                      <a:avLst/>
                    </a:prstGeom>
                  </pic:spPr>
                </pic:pic>
              </a:graphicData>
            </a:graphic>
          </wp:inline>
        </w:drawing>
      </w:r>
    </w:p>
    <w:p w:rsidR="00E85620" w:rsidRDefault="00E85620" w:rsidP="00E85620">
      <w:pPr>
        <w:rPr>
          <w:rFonts w:ascii="Garamond" w:hAnsi="Garamond"/>
          <w:b/>
          <w:u w:val="single"/>
        </w:rPr>
      </w:pPr>
    </w:p>
    <w:p w:rsidR="00E85620" w:rsidRPr="00315A7E" w:rsidRDefault="00E85620" w:rsidP="00E85620">
      <w:pPr>
        <w:rPr>
          <w:rFonts w:cstheme="minorHAnsi"/>
          <w:b/>
          <w:sz w:val="24"/>
          <w:u w:val="single"/>
        </w:rPr>
      </w:pPr>
      <w:r w:rsidRPr="00315A7E">
        <w:rPr>
          <w:rFonts w:cstheme="minorHAnsi"/>
          <w:b/>
          <w:sz w:val="24"/>
          <w:u w:val="single"/>
        </w:rPr>
        <w:lastRenderedPageBreak/>
        <w:t>Montana Community Health Assessments 2011</w:t>
      </w:r>
      <w:r w:rsidR="00F83559">
        <w:rPr>
          <w:rStyle w:val="EndnoteReference"/>
          <w:rFonts w:cstheme="minorHAnsi"/>
          <w:b/>
          <w:sz w:val="24"/>
          <w:u w:val="single"/>
        </w:rPr>
        <w:endnoteReference w:id="6"/>
      </w:r>
    </w:p>
    <w:p w:rsidR="00E85620" w:rsidRPr="00315A7E" w:rsidRDefault="00E85620" w:rsidP="00E85620">
      <w:pPr>
        <w:spacing w:after="0"/>
        <w:rPr>
          <w:rFonts w:cstheme="minorHAnsi"/>
        </w:rPr>
      </w:pPr>
      <w:r w:rsidRPr="00315A7E">
        <w:rPr>
          <w:rFonts w:cstheme="minorHAnsi"/>
        </w:rPr>
        <w:t xml:space="preserve">The Office of Epidemiology and Scientific Support (OESS) maintains and distributes public health data from the following systems: </w:t>
      </w:r>
    </w:p>
    <w:p w:rsidR="00E85620" w:rsidRPr="00315A7E" w:rsidRDefault="00E85620" w:rsidP="00E85620">
      <w:pPr>
        <w:numPr>
          <w:ilvl w:val="0"/>
          <w:numId w:val="20"/>
        </w:numPr>
        <w:spacing w:after="0"/>
        <w:rPr>
          <w:rFonts w:cstheme="minorHAnsi"/>
        </w:rPr>
      </w:pPr>
      <w:r w:rsidRPr="00315A7E">
        <w:rPr>
          <w:rFonts w:cstheme="minorHAnsi"/>
        </w:rPr>
        <w:t>Montana Behavioral Risk Factor Surveillance System (BRFSS),</w:t>
      </w:r>
    </w:p>
    <w:p w:rsidR="00E85620" w:rsidRPr="00315A7E" w:rsidRDefault="00E85620" w:rsidP="00E85620">
      <w:pPr>
        <w:numPr>
          <w:ilvl w:val="0"/>
          <w:numId w:val="20"/>
        </w:numPr>
        <w:spacing w:after="0"/>
        <w:rPr>
          <w:rFonts w:cstheme="minorHAnsi"/>
        </w:rPr>
      </w:pPr>
      <w:r w:rsidRPr="00315A7E">
        <w:rPr>
          <w:rFonts w:cstheme="minorHAnsi"/>
        </w:rPr>
        <w:t>Montana Hospital Data Discharge System, and</w:t>
      </w:r>
    </w:p>
    <w:p w:rsidR="00E85620" w:rsidRPr="00315A7E" w:rsidRDefault="00E85620" w:rsidP="00E85620">
      <w:pPr>
        <w:numPr>
          <w:ilvl w:val="0"/>
          <w:numId w:val="20"/>
        </w:numPr>
        <w:spacing w:after="0"/>
        <w:rPr>
          <w:rFonts w:cstheme="minorHAnsi"/>
        </w:rPr>
      </w:pPr>
      <w:r w:rsidRPr="00315A7E">
        <w:rPr>
          <w:rFonts w:cstheme="minorHAnsi"/>
        </w:rPr>
        <w:t>Montana Vital Statistics Analysis Unit.</w:t>
      </w:r>
    </w:p>
    <w:p w:rsidR="00E85620" w:rsidRPr="00315A7E" w:rsidRDefault="00E85620" w:rsidP="00E85620">
      <w:pPr>
        <w:spacing w:after="0"/>
        <w:rPr>
          <w:rFonts w:cstheme="minorHAnsi"/>
        </w:rPr>
      </w:pPr>
      <w:r w:rsidRPr="00315A7E">
        <w:rPr>
          <w:rFonts w:cstheme="minorHAnsi"/>
        </w:rPr>
        <w:t>These data systems contain information on a wide variety of health issues and thus support Public Health programs in Montana. OESS's main purpose is to provide the most accurate and timely data possible to the Public Health and Safety Division Programs, the Department of Public Health and Human Services, local health agencies, policy makers, and community groups.</w:t>
      </w:r>
    </w:p>
    <w:p w:rsidR="00E85620" w:rsidRPr="00412356" w:rsidRDefault="00E85620" w:rsidP="00E85620">
      <w:pPr>
        <w:rPr>
          <w:rFonts w:cstheme="minorHAnsi"/>
        </w:rPr>
      </w:pPr>
    </w:p>
    <w:tbl>
      <w:tblPr>
        <w:tblStyle w:val="TableGrid"/>
        <w:tblW w:w="0" w:type="auto"/>
        <w:tblLayout w:type="fixed"/>
        <w:tblLook w:val="04A0"/>
      </w:tblPr>
      <w:tblGrid>
        <w:gridCol w:w="2538"/>
        <w:gridCol w:w="1440"/>
        <w:gridCol w:w="1440"/>
        <w:gridCol w:w="1350"/>
        <w:gridCol w:w="2808"/>
      </w:tblGrid>
      <w:tr w:rsidR="00E85620" w:rsidTr="00FA00C8">
        <w:tc>
          <w:tcPr>
            <w:tcW w:w="2538"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bCs/>
              </w:rPr>
            </w:pPr>
            <w:r w:rsidRPr="000E7ED1">
              <w:rPr>
                <w:rFonts w:asciiTheme="minorHAnsi" w:hAnsiTheme="minorHAnsi" w:cstheme="minorHAnsi"/>
                <w:b/>
                <w:bCs/>
              </w:rPr>
              <w:t>Health Indicator</w:t>
            </w:r>
          </w:p>
        </w:tc>
        <w:tc>
          <w:tcPr>
            <w:tcW w:w="1440"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bCs/>
              </w:rPr>
            </w:pPr>
            <w:r w:rsidRPr="000E7ED1">
              <w:rPr>
                <w:rFonts w:asciiTheme="minorHAnsi" w:hAnsiTheme="minorHAnsi" w:cstheme="minorHAnsi"/>
                <w:b/>
                <w:bCs/>
              </w:rPr>
              <w:t>Valley County</w:t>
            </w:r>
          </w:p>
        </w:tc>
        <w:tc>
          <w:tcPr>
            <w:tcW w:w="1440"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bCs/>
              </w:rPr>
            </w:pPr>
            <w:r w:rsidRPr="000E7ED1">
              <w:rPr>
                <w:rFonts w:asciiTheme="minorHAnsi" w:hAnsiTheme="minorHAnsi" w:cstheme="minorHAnsi"/>
                <w:b/>
                <w:bCs/>
              </w:rPr>
              <w:t>Region 1</w:t>
            </w:r>
          </w:p>
        </w:tc>
        <w:tc>
          <w:tcPr>
            <w:tcW w:w="1350"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bCs/>
              </w:rPr>
            </w:pPr>
            <w:r w:rsidRPr="000E7ED1">
              <w:rPr>
                <w:rFonts w:asciiTheme="minorHAnsi" w:hAnsiTheme="minorHAnsi" w:cstheme="minorHAnsi"/>
                <w:b/>
                <w:bCs/>
              </w:rPr>
              <w:t>Montana</w:t>
            </w:r>
          </w:p>
        </w:tc>
        <w:tc>
          <w:tcPr>
            <w:tcW w:w="2808" w:type="dxa"/>
            <w:shd w:val="clear" w:color="auto" w:fill="B7B7B7" w:themeFill="accent6" w:themeFillTint="66"/>
            <w:vAlign w:val="center"/>
          </w:tcPr>
          <w:p w:rsidR="00E85620" w:rsidRPr="000E7ED1" w:rsidRDefault="00E85620" w:rsidP="00AB1821">
            <w:pPr>
              <w:jc w:val="center"/>
              <w:rPr>
                <w:rFonts w:asciiTheme="minorHAnsi" w:hAnsiTheme="minorHAnsi" w:cstheme="minorHAnsi"/>
                <w:b/>
                <w:bCs/>
              </w:rPr>
            </w:pPr>
            <w:r w:rsidRPr="000E7ED1">
              <w:rPr>
                <w:rFonts w:asciiTheme="minorHAnsi" w:hAnsiTheme="minorHAnsi" w:cstheme="minorHAnsi"/>
                <w:b/>
                <w:bCs/>
              </w:rPr>
              <w:t>Data Source/Definition</w:t>
            </w:r>
          </w:p>
        </w:tc>
      </w:tr>
      <w:tr w:rsidR="00E85620" w:rsidTr="00FA00C8">
        <w:tc>
          <w:tcPr>
            <w:tcW w:w="2538" w:type="dxa"/>
            <w:shd w:val="clear" w:color="auto" w:fill="DDDDDD" w:themeFill="accent1"/>
          </w:tcPr>
          <w:p w:rsidR="00E85620" w:rsidRPr="000E7ED1" w:rsidRDefault="00E85620" w:rsidP="00AB1821">
            <w:pPr>
              <w:rPr>
                <w:rFonts w:asciiTheme="minorHAnsi" w:hAnsiTheme="minorHAnsi" w:cstheme="minorHAnsi"/>
                <w:b/>
                <w:bCs/>
                <w:sz w:val="18"/>
                <w:szCs w:val="18"/>
              </w:rPr>
            </w:pPr>
            <w:r w:rsidRPr="000E7ED1">
              <w:rPr>
                <w:rFonts w:asciiTheme="minorHAnsi" w:hAnsiTheme="minorHAnsi" w:cstheme="minorHAnsi"/>
                <w:b/>
                <w:bCs/>
                <w:sz w:val="18"/>
                <w:szCs w:val="18"/>
              </w:rPr>
              <w:t>Maternal and Child Health</w:t>
            </w:r>
          </w:p>
        </w:tc>
        <w:tc>
          <w:tcPr>
            <w:tcW w:w="1440" w:type="dxa"/>
            <w:shd w:val="clear" w:color="auto" w:fill="DDDDDD" w:themeFill="accent1"/>
          </w:tcPr>
          <w:p w:rsidR="00E85620" w:rsidRPr="000E7ED1" w:rsidRDefault="00E85620" w:rsidP="00AB1821">
            <w:pPr>
              <w:rPr>
                <w:rFonts w:asciiTheme="minorHAnsi" w:hAnsiTheme="minorHAnsi" w:cstheme="minorHAnsi"/>
                <w:bCs/>
                <w:sz w:val="18"/>
                <w:szCs w:val="18"/>
              </w:rPr>
            </w:pPr>
          </w:p>
        </w:tc>
        <w:tc>
          <w:tcPr>
            <w:tcW w:w="1440" w:type="dxa"/>
            <w:shd w:val="clear" w:color="auto" w:fill="DDDDDD" w:themeFill="accent1"/>
          </w:tcPr>
          <w:p w:rsidR="00E85620" w:rsidRPr="000E7ED1" w:rsidRDefault="00E85620" w:rsidP="00AB1821">
            <w:pPr>
              <w:rPr>
                <w:rFonts w:asciiTheme="minorHAnsi" w:hAnsiTheme="minorHAnsi" w:cstheme="minorHAnsi"/>
                <w:bCs/>
                <w:sz w:val="18"/>
                <w:szCs w:val="18"/>
              </w:rPr>
            </w:pPr>
          </w:p>
        </w:tc>
        <w:tc>
          <w:tcPr>
            <w:tcW w:w="1350" w:type="dxa"/>
            <w:shd w:val="clear" w:color="auto" w:fill="DDDDDD" w:themeFill="accent1"/>
          </w:tcPr>
          <w:p w:rsidR="00E85620" w:rsidRPr="000E7ED1" w:rsidRDefault="00E85620" w:rsidP="00AB1821">
            <w:pPr>
              <w:rPr>
                <w:rFonts w:asciiTheme="minorHAnsi" w:hAnsiTheme="minorHAnsi" w:cstheme="minorHAnsi"/>
                <w:bCs/>
                <w:sz w:val="18"/>
                <w:szCs w:val="18"/>
              </w:rPr>
            </w:pPr>
          </w:p>
        </w:tc>
        <w:tc>
          <w:tcPr>
            <w:tcW w:w="2808" w:type="dxa"/>
            <w:shd w:val="clear" w:color="auto" w:fill="DDDDDD" w:themeFill="accent1"/>
          </w:tcPr>
          <w:p w:rsidR="00E85620" w:rsidRPr="000E7ED1" w:rsidRDefault="00E85620" w:rsidP="00AB1821">
            <w:pPr>
              <w:rPr>
                <w:rFonts w:asciiTheme="minorHAnsi" w:hAnsiTheme="minorHAnsi" w:cstheme="minorHAnsi"/>
                <w:bCs/>
                <w:sz w:val="18"/>
                <w:szCs w:val="18"/>
              </w:rPr>
            </w:pPr>
          </w:p>
        </w:tc>
      </w:tr>
      <w:tr w:rsidR="00E85620" w:rsidTr="00AB1821">
        <w:trPr>
          <w:trHeight w:val="1835"/>
        </w:trPr>
        <w:tc>
          <w:tcPr>
            <w:tcW w:w="2538" w:type="dxa"/>
            <w:vAlign w:val="center"/>
          </w:tcPr>
          <w:p w:rsidR="00E85620" w:rsidRPr="000E7ED1" w:rsidRDefault="00E85620" w:rsidP="00AB1821">
            <w:pPr>
              <w:pStyle w:val="Default"/>
              <w:jc w:val="center"/>
              <w:rPr>
                <w:rFonts w:asciiTheme="minorHAnsi" w:hAnsiTheme="minorHAnsi" w:cstheme="minorHAnsi"/>
                <w:color w:val="auto"/>
                <w:sz w:val="18"/>
                <w:szCs w:val="18"/>
              </w:rPr>
            </w:pPr>
          </w:p>
          <w:p w:rsidR="00E85620" w:rsidRPr="000E7ED1" w:rsidRDefault="00E85620" w:rsidP="000E7ED1">
            <w:pPr>
              <w:pStyle w:val="Default"/>
              <w:rPr>
                <w:rFonts w:asciiTheme="minorHAnsi" w:hAnsiTheme="minorHAnsi" w:cstheme="minorHAnsi"/>
                <w:sz w:val="18"/>
                <w:szCs w:val="18"/>
              </w:rPr>
            </w:pPr>
            <w:r w:rsidRPr="000E7ED1">
              <w:rPr>
                <w:rFonts w:asciiTheme="minorHAnsi" w:hAnsiTheme="minorHAnsi" w:cstheme="minorHAnsi"/>
                <w:sz w:val="18"/>
                <w:szCs w:val="18"/>
              </w:rPr>
              <w:t>Infant mortality (death within 1st year): rate per 1000 live births</w:t>
            </w:r>
          </w:p>
          <w:p w:rsidR="00E85620" w:rsidRPr="000E7ED1" w:rsidRDefault="00E85620" w:rsidP="00AB1821">
            <w:pPr>
              <w:jc w:val="center"/>
              <w:rPr>
                <w:rFonts w:asciiTheme="minorHAnsi" w:hAnsiTheme="minorHAnsi" w:cstheme="minorHAnsi"/>
                <w:bCs/>
                <w:sz w:val="18"/>
                <w:szCs w:val="18"/>
              </w:rPr>
            </w:pP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Not available</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6.9</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(4.9-9.6)</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6.1</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(5.5-6.7)</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(OVS) death and live birth data, 2004-2008. The number of infant (birth through 364 days of age) deaths, divided by the total number of live births, multiplied by 1,000.</w:t>
            </w:r>
          </w:p>
          <w:p w:rsidR="00E85620" w:rsidRPr="000E7ED1" w:rsidRDefault="00E85620" w:rsidP="00AB1821">
            <w:pPr>
              <w:jc w:val="center"/>
              <w:rPr>
                <w:rFonts w:asciiTheme="minorHAnsi" w:hAnsiTheme="minorHAnsi" w:cstheme="minorHAnsi"/>
                <w:bCs/>
                <w:sz w:val="18"/>
                <w:szCs w:val="18"/>
              </w:rPr>
            </w:pPr>
          </w:p>
        </w:tc>
      </w:tr>
      <w:tr w:rsidR="00E85620" w:rsidTr="00AB1821">
        <w:tc>
          <w:tcPr>
            <w:tcW w:w="2538" w:type="dxa"/>
            <w:vAlign w:val="center"/>
          </w:tcPr>
          <w:p w:rsidR="00E85620" w:rsidRPr="000E7ED1" w:rsidRDefault="00E85620" w:rsidP="000E7ED1">
            <w:pPr>
              <w:rPr>
                <w:rFonts w:asciiTheme="minorHAnsi" w:hAnsiTheme="minorHAnsi" w:cstheme="minorHAnsi"/>
                <w:bCs/>
                <w:sz w:val="18"/>
                <w:szCs w:val="18"/>
              </w:rPr>
            </w:pPr>
            <w:r w:rsidRPr="000E7ED1">
              <w:rPr>
                <w:rFonts w:asciiTheme="minorHAnsi" w:hAnsiTheme="minorHAnsi" w:cstheme="minorHAnsi"/>
                <w:bCs/>
                <w:sz w:val="18"/>
                <w:szCs w:val="18"/>
              </w:rPr>
              <w:t>Child mortality (1 through 14 years): rate per 100,000</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Not available</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48.2</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(33.0-68.0)</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18.4</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(15.3-21.9)</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(OVS) death data, 2004-2008, and U.S. Census Population Estimates, May 2009 release. The number of deaths to children 1 through 14 years of age, divided by the estimated population of children 1 through 14 years of age, multiplied by 100,000.</w:t>
            </w:r>
          </w:p>
        </w:tc>
      </w:tr>
      <w:tr w:rsidR="00E85620" w:rsidTr="00AB1821">
        <w:tc>
          <w:tcPr>
            <w:tcW w:w="2538" w:type="dxa"/>
            <w:vAlign w:val="center"/>
          </w:tcPr>
          <w:p w:rsidR="00E85620" w:rsidRPr="000E7ED1" w:rsidRDefault="00E85620" w:rsidP="000E7ED1">
            <w:pPr>
              <w:rPr>
                <w:rFonts w:asciiTheme="minorHAnsi" w:hAnsiTheme="minorHAnsi" w:cstheme="minorHAnsi"/>
                <w:bCs/>
                <w:sz w:val="18"/>
                <w:szCs w:val="18"/>
              </w:rPr>
            </w:pPr>
            <w:r w:rsidRPr="000E7ED1">
              <w:rPr>
                <w:rFonts w:asciiTheme="minorHAnsi" w:hAnsiTheme="minorHAnsi" w:cstheme="minorHAnsi"/>
                <w:bCs/>
                <w:sz w:val="18"/>
                <w:szCs w:val="18"/>
              </w:rPr>
              <w:t>Neonatal (under 28 days of age) mortality: rate per 1000 live birth</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Not available</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4.1</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(2.6-6.3)</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3.3</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(2.9-3.8)</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(OVS) death and live birth data, 2004-2008. The number of deaths to infants under 28 days of age, divided by the total number of live births, multiplied by 1000.</w:t>
            </w:r>
          </w:p>
        </w:tc>
      </w:tr>
      <w:tr w:rsidR="00E85620" w:rsidTr="00FA00C8">
        <w:tc>
          <w:tcPr>
            <w:tcW w:w="2538" w:type="dxa"/>
            <w:shd w:val="clear" w:color="auto" w:fill="DDDDDD" w:themeFill="accent1"/>
            <w:vAlign w:val="center"/>
          </w:tcPr>
          <w:p w:rsidR="00E85620" w:rsidRPr="000E7ED1" w:rsidRDefault="00E85620" w:rsidP="00AB1821">
            <w:pPr>
              <w:jc w:val="center"/>
              <w:rPr>
                <w:rFonts w:asciiTheme="minorHAnsi" w:hAnsiTheme="minorHAnsi" w:cstheme="minorHAnsi"/>
                <w:b/>
                <w:bCs/>
                <w:sz w:val="18"/>
                <w:szCs w:val="18"/>
              </w:rPr>
            </w:pPr>
            <w:r w:rsidRPr="000E7ED1">
              <w:rPr>
                <w:rFonts w:asciiTheme="minorHAnsi" w:hAnsiTheme="minorHAnsi" w:cstheme="minorHAnsi"/>
                <w:b/>
                <w:bCs/>
                <w:sz w:val="18"/>
                <w:szCs w:val="18"/>
              </w:rPr>
              <w:t>Mortality</w:t>
            </w:r>
          </w:p>
        </w:tc>
        <w:tc>
          <w:tcPr>
            <w:tcW w:w="1440" w:type="dxa"/>
            <w:shd w:val="clear" w:color="auto" w:fill="DDDDDD" w:themeFill="accent1"/>
            <w:vAlign w:val="center"/>
          </w:tcPr>
          <w:p w:rsidR="00E85620" w:rsidRPr="000E7ED1" w:rsidRDefault="00E85620" w:rsidP="00AB1821">
            <w:pPr>
              <w:jc w:val="center"/>
              <w:rPr>
                <w:rFonts w:asciiTheme="minorHAnsi" w:hAnsiTheme="minorHAnsi" w:cstheme="minorHAnsi"/>
                <w:bCs/>
                <w:sz w:val="18"/>
                <w:szCs w:val="18"/>
              </w:rPr>
            </w:pPr>
          </w:p>
        </w:tc>
        <w:tc>
          <w:tcPr>
            <w:tcW w:w="1440" w:type="dxa"/>
            <w:shd w:val="clear" w:color="auto" w:fill="DDDDDD" w:themeFill="accent1"/>
            <w:vAlign w:val="center"/>
          </w:tcPr>
          <w:p w:rsidR="00E85620" w:rsidRPr="000E7ED1" w:rsidRDefault="00E85620" w:rsidP="00AB1821">
            <w:pPr>
              <w:jc w:val="center"/>
              <w:rPr>
                <w:rFonts w:asciiTheme="minorHAnsi" w:hAnsiTheme="minorHAnsi" w:cstheme="minorHAnsi"/>
                <w:bCs/>
                <w:sz w:val="18"/>
                <w:szCs w:val="18"/>
              </w:rPr>
            </w:pPr>
          </w:p>
        </w:tc>
        <w:tc>
          <w:tcPr>
            <w:tcW w:w="1350" w:type="dxa"/>
            <w:shd w:val="clear" w:color="auto" w:fill="DDDDDD" w:themeFill="accent1"/>
            <w:vAlign w:val="center"/>
          </w:tcPr>
          <w:p w:rsidR="00E85620" w:rsidRPr="000E7ED1" w:rsidRDefault="00E85620" w:rsidP="00AB1821">
            <w:pPr>
              <w:jc w:val="center"/>
              <w:rPr>
                <w:rFonts w:asciiTheme="minorHAnsi" w:hAnsiTheme="minorHAnsi" w:cstheme="minorHAnsi"/>
                <w:bCs/>
                <w:sz w:val="18"/>
                <w:szCs w:val="18"/>
              </w:rPr>
            </w:pPr>
          </w:p>
        </w:tc>
        <w:tc>
          <w:tcPr>
            <w:tcW w:w="2808" w:type="dxa"/>
            <w:shd w:val="clear" w:color="auto" w:fill="DDDDDD" w:themeFill="accent1"/>
            <w:vAlign w:val="center"/>
          </w:tcPr>
          <w:p w:rsidR="00E85620" w:rsidRPr="000E7ED1" w:rsidRDefault="00E85620" w:rsidP="00AB1821">
            <w:pPr>
              <w:pStyle w:val="Default"/>
              <w:jc w:val="center"/>
              <w:rPr>
                <w:rFonts w:asciiTheme="minorHAnsi" w:hAnsiTheme="minorHAnsi" w:cstheme="minorHAnsi"/>
                <w:sz w:val="18"/>
                <w:szCs w:val="18"/>
              </w:rPr>
            </w:pPr>
          </w:p>
        </w:tc>
      </w:tr>
      <w:tr w:rsidR="00E85620" w:rsidTr="00AB1821">
        <w:tc>
          <w:tcPr>
            <w:tcW w:w="2538" w:type="dxa"/>
            <w:vAlign w:val="center"/>
          </w:tcPr>
          <w:p w:rsidR="00E85620" w:rsidRPr="000E7ED1" w:rsidRDefault="00E85620" w:rsidP="000E7ED1">
            <w:pPr>
              <w:rPr>
                <w:rFonts w:asciiTheme="minorHAnsi" w:hAnsiTheme="minorHAnsi" w:cstheme="minorHAnsi"/>
                <w:b/>
                <w:bCs/>
                <w:sz w:val="18"/>
                <w:szCs w:val="18"/>
              </w:rPr>
            </w:pPr>
            <w:r w:rsidRPr="000E7ED1">
              <w:rPr>
                <w:rFonts w:asciiTheme="minorHAnsi" w:hAnsiTheme="minorHAnsi" w:cstheme="minorHAnsi"/>
                <w:b/>
                <w:bCs/>
                <w:sz w:val="18"/>
                <w:szCs w:val="18"/>
              </w:rPr>
              <w:t>Median age at death (All Races)</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80</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79</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78</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death certificates, Montana resident data from 2004-2008. Total includes both sexes and all races. The age for which half the deaths in a population are at a younger age and half at an older age. In a population with an even number of decedents, the median is the average of the two “middle” ages.</w:t>
            </w:r>
          </w:p>
        </w:tc>
      </w:tr>
      <w:tr w:rsidR="00E85620" w:rsidTr="00AB1821">
        <w:tc>
          <w:tcPr>
            <w:tcW w:w="2538" w:type="dxa"/>
            <w:vAlign w:val="center"/>
          </w:tcPr>
          <w:p w:rsidR="00E85620" w:rsidRPr="000E7ED1" w:rsidRDefault="00E85620" w:rsidP="00AB1821">
            <w:pPr>
              <w:pStyle w:val="ListParagraph"/>
              <w:numPr>
                <w:ilvl w:val="0"/>
                <w:numId w:val="19"/>
              </w:numPr>
              <w:rPr>
                <w:rFonts w:asciiTheme="minorHAnsi" w:hAnsiTheme="minorHAnsi" w:cstheme="minorHAnsi"/>
                <w:bCs/>
                <w:sz w:val="18"/>
                <w:szCs w:val="18"/>
              </w:rPr>
            </w:pPr>
            <w:r w:rsidRPr="000E7ED1">
              <w:rPr>
                <w:rFonts w:asciiTheme="minorHAnsi" w:hAnsiTheme="minorHAnsi" w:cstheme="minorHAnsi"/>
                <w:bCs/>
                <w:sz w:val="18"/>
                <w:szCs w:val="18"/>
              </w:rPr>
              <w:t>White</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82</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81</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79</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w:t>
            </w:r>
          </w:p>
        </w:tc>
      </w:tr>
      <w:tr w:rsidR="00E85620" w:rsidTr="00AB1821">
        <w:tc>
          <w:tcPr>
            <w:tcW w:w="2538" w:type="dxa"/>
            <w:vAlign w:val="center"/>
          </w:tcPr>
          <w:p w:rsidR="00E85620" w:rsidRPr="000E7ED1" w:rsidRDefault="00E85620" w:rsidP="00AB1821">
            <w:pPr>
              <w:pStyle w:val="ListParagraph"/>
              <w:numPr>
                <w:ilvl w:val="0"/>
                <w:numId w:val="19"/>
              </w:numPr>
              <w:rPr>
                <w:rFonts w:asciiTheme="minorHAnsi" w:hAnsiTheme="minorHAnsi" w:cstheme="minorHAnsi"/>
                <w:bCs/>
                <w:sz w:val="18"/>
                <w:szCs w:val="18"/>
              </w:rPr>
            </w:pPr>
            <w:r w:rsidRPr="000E7ED1">
              <w:rPr>
                <w:rFonts w:asciiTheme="minorHAnsi" w:hAnsiTheme="minorHAnsi" w:cstheme="minorHAnsi"/>
                <w:bCs/>
                <w:sz w:val="18"/>
                <w:szCs w:val="18"/>
              </w:rPr>
              <w:t>American Indian</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51</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55</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59</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w:t>
            </w:r>
          </w:p>
        </w:tc>
      </w:tr>
      <w:tr w:rsidR="00E85620" w:rsidTr="00AB1821">
        <w:trPr>
          <w:trHeight w:val="1142"/>
        </w:trPr>
        <w:tc>
          <w:tcPr>
            <w:tcW w:w="2538" w:type="dxa"/>
            <w:vAlign w:val="center"/>
          </w:tcPr>
          <w:p w:rsidR="00E85620" w:rsidRPr="000E7ED1" w:rsidRDefault="00E85620" w:rsidP="000E7ED1">
            <w:pPr>
              <w:rPr>
                <w:rFonts w:asciiTheme="minorHAnsi" w:hAnsiTheme="minorHAnsi" w:cstheme="minorHAnsi"/>
                <w:bCs/>
                <w:sz w:val="18"/>
                <w:szCs w:val="18"/>
              </w:rPr>
            </w:pPr>
            <w:r w:rsidRPr="000E7ED1">
              <w:rPr>
                <w:rFonts w:asciiTheme="minorHAnsi" w:hAnsiTheme="minorHAnsi" w:cstheme="minorHAnsi"/>
                <w:bCs/>
                <w:sz w:val="18"/>
                <w:szCs w:val="18"/>
              </w:rPr>
              <w:t>All Cancers mortality rate per 100,000 population</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238</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(189.6-295.0)</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257.8</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(241.9-274.5 )</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200.9</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(197.5-205.0)</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death certificates, Montana resident data from 2004-2008.</w:t>
            </w:r>
          </w:p>
        </w:tc>
      </w:tr>
    </w:tbl>
    <w:p w:rsidR="00412356" w:rsidRDefault="00412356"/>
    <w:tbl>
      <w:tblPr>
        <w:tblStyle w:val="TableGrid"/>
        <w:tblW w:w="0" w:type="auto"/>
        <w:tblLayout w:type="fixed"/>
        <w:tblLook w:val="04A0"/>
      </w:tblPr>
      <w:tblGrid>
        <w:gridCol w:w="2538"/>
        <w:gridCol w:w="1440"/>
        <w:gridCol w:w="1440"/>
        <w:gridCol w:w="1350"/>
        <w:gridCol w:w="2808"/>
      </w:tblGrid>
      <w:tr w:rsidR="00E85620" w:rsidTr="00AB1821">
        <w:tc>
          <w:tcPr>
            <w:tcW w:w="2538" w:type="dxa"/>
            <w:vAlign w:val="center"/>
          </w:tcPr>
          <w:p w:rsidR="00E85620" w:rsidRPr="000E7ED1" w:rsidRDefault="00E85620" w:rsidP="000E7ED1">
            <w:pPr>
              <w:rPr>
                <w:rFonts w:asciiTheme="minorHAnsi" w:hAnsiTheme="minorHAnsi" w:cstheme="minorHAnsi"/>
                <w:bCs/>
                <w:sz w:val="18"/>
                <w:szCs w:val="18"/>
              </w:rPr>
            </w:pPr>
            <w:r w:rsidRPr="000E7ED1">
              <w:rPr>
                <w:rFonts w:asciiTheme="minorHAnsi" w:hAnsiTheme="minorHAnsi" w:cstheme="minorHAnsi"/>
                <w:bCs/>
                <w:sz w:val="18"/>
                <w:szCs w:val="18"/>
              </w:rPr>
              <w:lastRenderedPageBreak/>
              <w:t>Unintentional injury death rate per 100,000 population</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60.2</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(37.3-92.0)</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77.8</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(69.2-87.2)</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58.8</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(56.7-60.9)</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death certificates, Montana resident data from 2004-2008.</w:t>
            </w:r>
          </w:p>
        </w:tc>
      </w:tr>
      <w:tr w:rsidR="00E85620" w:rsidTr="00AB1821">
        <w:tc>
          <w:tcPr>
            <w:tcW w:w="2538" w:type="dxa"/>
            <w:vAlign w:val="center"/>
          </w:tcPr>
          <w:p w:rsidR="00E85620" w:rsidRPr="000E7ED1" w:rsidRDefault="00E85620" w:rsidP="000E7ED1">
            <w:pPr>
              <w:rPr>
                <w:rFonts w:cstheme="minorHAnsi"/>
                <w:bCs/>
                <w:sz w:val="18"/>
                <w:szCs w:val="18"/>
              </w:rPr>
            </w:pPr>
            <w:r w:rsidRPr="000E7ED1">
              <w:rPr>
                <w:rFonts w:cstheme="minorHAnsi"/>
                <w:bCs/>
                <w:sz w:val="18"/>
                <w:szCs w:val="18"/>
              </w:rPr>
              <w:t>Cerebrovascular Disease (including stroke) mortality rate per 100,000 population</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57.3</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(35.1-88.5)</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59.6</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(52.1-67.8)</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49.7</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(47.8-51.7)</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death certificates, Montana resident data from 2004-2008. Includes subarachnoid, intracerebral, and intracranial hemorrhage, cerebral infarction, other strokes and certain other forms of Cerebrovascular diseases and their sequelae.</w:t>
            </w:r>
          </w:p>
        </w:tc>
      </w:tr>
      <w:tr w:rsidR="00E85620" w:rsidTr="00AB1821">
        <w:tc>
          <w:tcPr>
            <w:tcW w:w="2538" w:type="dxa"/>
            <w:vAlign w:val="center"/>
          </w:tcPr>
          <w:p w:rsidR="00E85620" w:rsidRPr="000E7ED1" w:rsidRDefault="00E85620" w:rsidP="000E7ED1">
            <w:pPr>
              <w:rPr>
                <w:rFonts w:cstheme="minorHAnsi"/>
                <w:bCs/>
                <w:sz w:val="18"/>
                <w:szCs w:val="18"/>
              </w:rPr>
            </w:pPr>
            <w:r w:rsidRPr="000E7ED1">
              <w:rPr>
                <w:rFonts w:cstheme="minorHAnsi"/>
                <w:bCs/>
                <w:sz w:val="18"/>
                <w:szCs w:val="18"/>
              </w:rPr>
              <w:t>Diabetes Mellitus mortality rates</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77.4</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(51.1-112.6)</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47.9</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(41.2-55.4)</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27.1</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(25.7-28.6)</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death certificate Montana resident data from 2004-2008.</w:t>
            </w:r>
          </w:p>
        </w:tc>
      </w:tr>
      <w:tr w:rsidR="00E85620" w:rsidTr="00AB1821">
        <w:tc>
          <w:tcPr>
            <w:tcW w:w="2538" w:type="dxa"/>
            <w:vAlign w:val="center"/>
          </w:tcPr>
          <w:p w:rsidR="00E85620" w:rsidRPr="000E7ED1" w:rsidRDefault="00E85620" w:rsidP="000E7ED1">
            <w:pPr>
              <w:rPr>
                <w:rFonts w:cstheme="minorHAnsi"/>
                <w:bCs/>
                <w:sz w:val="18"/>
                <w:szCs w:val="18"/>
              </w:rPr>
            </w:pPr>
            <w:r w:rsidRPr="000E7ED1">
              <w:rPr>
                <w:rFonts w:cstheme="minorHAnsi"/>
                <w:bCs/>
                <w:sz w:val="18"/>
                <w:szCs w:val="18"/>
              </w:rPr>
              <w:t>Heart Disease mortality rate per 100,000 population</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349.8</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(290.5-417.6)</w:t>
            </w:r>
          </w:p>
        </w:tc>
        <w:tc>
          <w:tcPr>
            <w:tcW w:w="144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268.1</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(251.9-285.1)</w:t>
            </w:r>
          </w:p>
        </w:tc>
        <w:tc>
          <w:tcPr>
            <w:tcW w:w="1350" w:type="dxa"/>
            <w:vAlign w:val="center"/>
          </w:tcPr>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198.0</w:t>
            </w:r>
          </w:p>
          <w:p w:rsidR="00E85620" w:rsidRPr="000E7ED1" w:rsidRDefault="00E85620" w:rsidP="00AB1821">
            <w:pPr>
              <w:jc w:val="center"/>
              <w:rPr>
                <w:rFonts w:asciiTheme="minorHAnsi" w:hAnsiTheme="minorHAnsi" w:cstheme="minorHAnsi"/>
                <w:bCs/>
                <w:sz w:val="18"/>
                <w:szCs w:val="18"/>
              </w:rPr>
            </w:pPr>
            <w:r w:rsidRPr="000E7ED1">
              <w:rPr>
                <w:rFonts w:asciiTheme="minorHAnsi" w:hAnsiTheme="minorHAnsi" w:cstheme="minorHAnsi"/>
                <w:bCs/>
                <w:sz w:val="18"/>
                <w:szCs w:val="18"/>
              </w:rPr>
              <w:t>(194.6-202.0)</w:t>
            </w:r>
          </w:p>
        </w:tc>
        <w:tc>
          <w:tcPr>
            <w:tcW w:w="2808" w:type="dxa"/>
            <w:vAlign w:val="center"/>
          </w:tcPr>
          <w:p w:rsidR="00E85620" w:rsidRPr="000E7ED1" w:rsidRDefault="00E85620" w:rsidP="00AB1821">
            <w:pPr>
              <w:pStyle w:val="Default"/>
              <w:jc w:val="center"/>
              <w:rPr>
                <w:rFonts w:asciiTheme="minorHAnsi" w:hAnsiTheme="minorHAnsi" w:cstheme="minorHAnsi"/>
                <w:sz w:val="18"/>
                <w:szCs w:val="18"/>
              </w:rPr>
            </w:pPr>
            <w:r w:rsidRPr="000E7ED1">
              <w:rPr>
                <w:rFonts w:asciiTheme="minorHAnsi" w:hAnsiTheme="minorHAnsi" w:cstheme="minorHAnsi"/>
                <w:sz w:val="18"/>
                <w:szCs w:val="18"/>
              </w:rPr>
              <w:t>Vital Statistics: death certificates, Montana resident data from 2004-2008.Total includes both sexes and all races. The age for which half the deaths in a population are at a younger age and half at an older age. In a population with an even number of decedents, the median is the average of the two “middle” ages.</w:t>
            </w:r>
          </w:p>
        </w:tc>
      </w:tr>
    </w:tbl>
    <w:p w:rsidR="00E85620" w:rsidRPr="00B04532" w:rsidRDefault="00E85620" w:rsidP="00E85620">
      <w:pPr>
        <w:rPr>
          <w:rFonts w:ascii="Garamond" w:hAnsi="Garamond"/>
          <w:bCs/>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E85620">
      <w:pPr>
        <w:rPr>
          <w:rFonts w:ascii="Garamond" w:hAnsi="Garamond"/>
          <w:b/>
          <w:u w:val="single"/>
        </w:rPr>
      </w:pPr>
    </w:p>
    <w:p w:rsidR="00E85620" w:rsidRDefault="00E85620" w:rsidP="00C74E47">
      <w:pPr>
        <w:pStyle w:val="Heading1"/>
      </w:pPr>
    </w:p>
    <w:p w:rsidR="00E85620" w:rsidRDefault="00284C67" w:rsidP="00C74E47">
      <w:pPr>
        <w:pStyle w:val="Heading1"/>
      </w:pPr>
      <w:r>
        <w:rPr>
          <w:noProof/>
        </w:rPr>
        <w:pict>
          <v:rect id="Rectangle 1" o:spid="_x0000_s1031" style="position:absolute;margin-left:28.85pt;margin-top:16pt;width:565.85pt;height:760.3pt;z-index:251697664;visibility:visible;mso-height-percent:960;mso-position-horizontal-relative:page;mso-position-vertical-relative:page;mso-height-percent:9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" fillcolor="#267b1f" stroked="f" strokeweight="1pt">
            <v:path arrowok="t"/>
            <v:textbox inset="14.4pt,,14.4pt">
              <w:txbxContent>
                <w:p w:rsidR="00C67FAB" w:rsidRPr="00E85620" w:rsidRDefault="00C67FAB" w:rsidP="00E85620">
                  <w:pPr>
                    <w:pStyle w:val="Subtitle"/>
                    <w:rPr>
                      <w:color w:val="FFFFFF" w:themeColor="background1"/>
                      <w:sz w:val="64"/>
                      <w:szCs w:val="64"/>
                    </w:rPr>
                  </w:pPr>
                  <w:r>
                    <w:rPr>
                      <w:color w:val="FFFFFF" w:themeColor="background1"/>
                      <w:sz w:val="64"/>
                      <w:szCs w:val="64"/>
                      <w:lang w:eastAsia="ja-JP"/>
                    </w:rPr>
                    <w:t>Primary Data</w:t>
                  </w:r>
                </w:p>
              </w:txbxContent>
            </v:textbox>
            <w10:wrap anchorx="page" anchory="page"/>
          </v:rect>
        </w:pict>
      </w: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Default="00E85620" w:rsidP="00C74E47">
      <w:pPr>
        <w:pStyle w:val="Heading1"/>
      </w:pPr>
    </w:p>
    <w:p w:rsidR="00E85620" w:rsidRPr="00E85620" w:rsidRDefault="00E85620" w:rsidP="00E85620"/>
    <w:p w:rsidR="00FA00C8" w:rsidRPr="00FA00C8" w:rsidRDefault="00FA00C8" w:rsidP="00FA00C8">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lastRenderedPageBreak/>
        <w:t>Primary Data Collection</w:t>
      </w:r>
    </w:p>
    <w:p w:rsidR="00FA00C8" w:rsidRPr="00674851" w:rsidRDefault="00FA00C8" w:rsidP="001F0375">
      <w:pPr>
        <w:rPr>
          <w:sz w:val="8"/>
        </w:rPr>
      </w:pPr>
    </w:p>
    <w:p w:rsidR="00A140E5" w:rsidRDefault="00A140E5" w:rsidP="001F0375">
      <w:r>
        <w:t>VCHD, FMDH, EMCMHC, and the Public Health and Safety Division collaborated to complete a Community Assessment for Public Health Emergency Response (CASPER) to gather primary data for the CHA to improve the understanding of the health status of Valley County and to establish a volunteer network.</w:t>
      </w:r>
    </w:p>
    <w:p w:rsidR="001F0375" w:rsidRDefault="001F0375" w:rsidP="001F0375">
      <w:r>
        <w:t>CASPER is an epidemiologic technique designed to provide household-level information and to be efficiently and rapidly deployed with minimum resources. CASPERs can be conducted to assess the effect of a disaster on a population, to determine the health status and basic needs of an affected population, to evaluate response and recovery efforts, to gain a better understanding of the community for CHAs, and to practice the CASPER technique as part of a preparedness exercise. The CASPER organization includes leadership, local coordination, logistics, data management, and field teams. Field teams consist of two persons with a target of 10</w:t>
      </w:r>
      <w:r>
        <w:rPr>
          <w:rFonts w:cs="Calibri"/>
        </w:rPr>
        <w:t>–</w:t>
      </w:r>
      <w:r>
        <w:t xml:space="preserve">15 teams. A CASPER includes seven steps: 1) define the geographic area, 2) determine sampling method, 3) select instrument(s), 4) train field personnel, 5) conduct assessment, 6) analyze data, and 7) report results. </w:t>
      </w:r>
    </w:p>
    <w:p w:rsidR="001F0375" w:rsidRDefault="001F0375" w:rsidP="001F0375">
      <w:r>
        <w:t>CASPER uses a two-stage cluster design based on the World Health Organization epidemiology technique for estimating vaccine coverage from small pox eradication. In the first stage of the sampling method, 20 clusters (i.e. census blocks) with ≥7 housing units (HUs) are selected with their probability proportional to the estimated number of HUs in each cluster. In the second stage, seven HUs are randomly selected in each of the 20 clusters by the field teams for the purpose of conducting the interviews with the goal of 140 completed interviews.  Eighty percent completion rates allows population needs to be estimated from the sample and the estimates are usually within 10 percent.</w:t>
      </w:r>
    </w:p>
    <w:p w:rsidR="001F0375" w:rsidRDefault="001F0375" w:rsidP="001F0375">
      <w:r>
        <w:t xml:space="preserve">VCHD contacted the PHSD in the fall of 2015 for help conducting a CASPER in April of 2016. Formal planning for the CASPER started immediately. VCHD, FMDH, and EMCMHC worked collaboratively to develop the survey for the CASPER with community stakeholder input, find and manage volunteers, completed all logistics including data collection, and completed the media campaign to raise awareness of the event. </w:t>
      </w:r>
      <w:r w:rsidRPr="00553612">
        <w:t xml:space="preserve">PHSD </w:t>
      </w:r>
      <w:r>
        <w:t>roles were coordinating the sampling and development of cluster maps with the Montana State Library, the just-in-time training for volunteers, completion of the volunteer evaluation, data analyses, and writing of the final report.</w:t>
      </w:r>
    </w:p>
    <w:p w:rsidR="001F0375" w:rsidRDefault="001F0375" w:rsidP="001F0375">
      <w:r>
        <w:t>The geographic area for the CASPER included all of Valley County, which is 5,062 square miles. The main population center is Glasgow with a population of 3,374. Valley County contains 2,256 total census blocks including 1,438 blocks with 0 HUs, 635 blocks with 1</w:t>
      </w:r>
      <w:r>
        <w:rPr>
          <w:rFonts w:cs="Calibri"/>
        </w:rPr>
        <w:t>–</w:t>
      </w:r>
      <w:r>
        <w:t xml:space="preserve">6 HUs, and 183 blocks with </w:t>
      </w:r>
      <w:r>
        <w:rPr>
          <w:rFonts w:cs="Calibri"/>
        </w:rPr>
        <w:t>≥</w:t>
      </w:r>
      <w:r>
        <w:t>7 HUs for a total of 4,879 HUs. The Montana State Library</w:t>
      </w:r>
      <w:r w:rsidRPr="00C51E5A">
        <w:t xml:space="preserve"> </w:t>
      </w:r>
      <w:r>
        <w:t>logically combined</w:t>
      </w:r>
      <w:r w:rsidRPr="00C51E5A">
        <w:t xml:space="preserve"> census blocks</w:t>
      </w:r>
      <w:r>
        <w:t xml:space="preserve"> taking </w:t>
      </w:r>
      <w:r w:rsidRPr="00C51E5A">
        <w:t xml:space="preserve">into account boundaries, roads, rivers, and other features to create new clusters with </w:t>
      </w:r>
      <w:r w:rsidRPr="00C51E5A">
        <w:rPr>
          <w:rFonts w:cs="Calibri"/>
        </w:rPr>
        <w:t>≥</w:t>
      </w:r>
      <w:r w:rsidRPr="00C51E5A">
        <w:t xml:space="preserve">7 HUs. </w:t>
      </w:r>
      <w:r>
        <w:t>In the first stage sampling, 20 clusters were randomly selected with probability proportional to the number of HUs within the merged blocks. In the second stage, field teams used a standardized method for randomization to select HUs for the seven interviews.</w:t>
      </w:r>
    </w:p>
    <w:p w:rsidR="001F0375" w:rsidRDefault="001F0375" w:rsidP="001F0375">
      <w:r>
        <w:t xml:space="preserve">The survey instrument was designed to capture 1) demographic information 2) physical activity and nutrition 3) mental health and substance abuse 4) access to quality health servicers 5) injury 6) tobacco use 7) oral health and 8) community perceptions (Appendix A). On Saturday April 23, a just-in-time </w:t>
      </w:r>
      <w:r>
        <w:lastRenderedPageBreak/>
        <w:t xml:space="preserve">training session for </w:t>
      </w:r>
      <w:r w:rsidRPr="00380380">
        <w:t>45</w:t>
      </w:r>
      <w:r>
        <w:t xml:space="preserve"> volunteers provided an overview of a CASPER, household selection, in</w:t>
      </w:r>
      <w:r w:rsidR="00380380">
        <w:t>terview techniques, and safety. Twenty-two, two</w:t>
      </w:r>
      <w:r>
        <w:t>-person teams attempted to conduct seven interviews in each of the 20 clusters selected for the sample, with a goal of 140 completed interviews. Residents of households who were at least 18 years of age were considered eligible respondents. Additionally, field teams distributed information about the VCHD, FMDH, and EMCMHC. Data collection occurred on Friday April 15 and Saturday April 23.</w:t>
      </w:r>
      <w:r w:rsidRPr="00761978">
        <w:t xml:space="preserve"> All forms used during the CASPER were from the CASPER toolkit and were modified accordingly. All volunteers completed an evaluation at the end of the exercise (Appendix B).</w:t>
      </w:r>
    </w:p>
    <w:p w:rsidR="001F0375" w:rsidRPr="0075763F" w:rsidRDefault="001F0375" w:rsidP="001F0375">
      <w:r>
        <w:t xml:space="preserve">Epi Info 7.1.2, a free statistical software package produced by the CDC, was used for data entry and analysis. The completion rate was calculated by dividing the number of completed interviews by 140 (i.e., the goal for completed interviews in this CASPER). To account for the probability that the responding household was selected, we created sampling weights based on the total number of occupied houses according to the 2010 Census, the number of clusters selected, and the number of interviews completed in each cluster. This weight was used to calculate all weighted frequencies and percentages presented in this report.  </w:t>
      </w:r>
    </w:p>
    <w:p w:rsidR="00194E91" w:rsidRDefault="007306AC" w:rsidP="00C355F4">
      <w:pPr>
        <w:pStyle w:val="Caption"/>
      </w:pPr>
      <w:r>
        <w:rPr>
          <w:noProof/>
        </w:rPr>
        <w:drawing>
          <wp:anchor distT="0" distB="0" distL="114300" distR="114300" simplePos="0" relativeHeight="251680256" behindDoc="0" locked="0" layoutInCell="1" allowOverlap="1">
            <wp:simplePos x="0" y="0"/>
            <wp:positionH relativeFrom="margin">
              <wp:posOffset>386080</wp:posOffset>
            </wp:positionH>
            <wp:positionV relativeFrom="paragraph">
              <wp:posOffset>113665</wp:posOffset>
            </wp:positionV>
            <wp:extent cx="4889500" cy="473329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al4.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9500" cy="4733290"/>
                    </a:xfrm>
                    <a:prstGeom prst="rect">
                      <a:avLst/>
                    </a:prstGeom>
                  </pic:spPr>
                </pic:pic>
              </a:graphicData>
            </a:graphic>
          </wp:anchor>
        </w:drawing>
      </w:r>
    </w:p>
    <w:p w:rsidR="00A7380B" w:rsidRPr="003B0161" w:rsidRDefault="00C74E47" w:rsidP="003B0161">
      <w:pPr>
        <w:pStyle w:val="Caption"/>
        <w:jc w:val="right"/>
        <w:rPr>
          <w:color w:val="auto"/>
          <w:sz w:val="24"/>
        </w:rPr>
      </w:pPr>
      <w:r w:rsidRPr="003B0161">
        <w:rPr>
          <w:color w:val="auto"/>
          <w:sz w:val="24"/>
        </w:rPr>
        <w:t>Map of selected clusters for the CASPER</w:t>
      </w:r>
    </w:p>
    <w:p w:rsidR="00C355F4" w:rsidRPr="00FA00C8" w:rsidRDefault="00C355F4" w:rsidP="00C355F4">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lastRenderedPageBreak/>
        <w:t>Primary Data Results</w:t>
      </w:r>
    </w:p>
    <w:p w:rsidR="00C355F4" w:rsidRPr="00674851" w:rsidRDefault="00C355F4" w:rsidP="00A4322B">
      <w:pPr>
        <w:rPr>
          <w:sz w:val="8"/>
        </w:rPr>
      </w:pPr>
    </w:p>
    <w:p w:rsidR="00A4322B" w:rsidRDefault="00A4322B" w:rsidP="00A4322B">
      <w:r>
        <w:t>The interview teams conducted 121 interviews, yielding a completion rate of 86%. The 121 interviewed households were a sample of the 4,879 total households in Valley County. Unweighted frequencies, percentages, and projected population estimates based on weighted analyses can be found in</w:t>
      </w:r>
      <w:r w:rsidR="00676E29">
        <w:t xml:space="preserve"> Appendix C, Data</w:t>
      </w:r>
      <w:r>
        <w:t xml:space="preserve"> Tables 1</w:t>
      </w:r>
      <w:r>
        <w:rPr>
          <w:rFonts w:ascii="Century Gothic" w:hAnsi="Century Gothic"/>
        </w:rPr>
        <w:t>–</w:t>
      </w:r>
      <w:r>
        <w:t>17.</w:t>
      </w:r>
    </w:p>
    <w:p w:rsidR="00A4322B" w:rsidRDefault="00A4322B" w:rsidP="00A4322B">
      <w:r>
        <w:t xml:space="preserve">Seventy-six </w:t>
      </w:r>
      <w:r w:rsidRPr="009B22F2">
        <w:t>(63%)</w:t>
      </w:r>
      <w:r>
        <w:t xml:space="preserve"> of the respondents were female and </w:t>
      </w:r>
      <w:r w:rsidRPr="009B22F2">
        <w:t xml:space="preserve">24% </w:t>
      </w:r>
      <w:r>
        <w:t>were 75 years of age or older. Fifty-five (</w:t>
      </w:r>
      <w:r w:rsidRPr="00E11CE9">
        <w:t>46%)</w:t>
      </w:r>
      <w:r>
        <w:t xml:space="preserve"> of respondents were employed full-time, 28% were retired, </w:t>
      </w:r>
      <w:r w:rsidRPr="00E11CE9">
        <w:t xml:space="preserve">12% </w:t>
      </w:r>
      <w:r>
        <w:t xml:space="preserve">were self-employed, and </w:t>
      </w:r>
      <w:r w:rsidRPr="00E11CE9">
        <w:t>7%</w:t>
      </w:r>
      <w:r>
        <w:t xml:space="preserve"> were employed part-time. Table 1 contains complete demographic results.</w:t>
      </w:r>
    </w:p>
    <w:p w:rsidR="00A4322B" w:rsidRDefault="00A4322B" w:rsidP="00A4322B">
      <w:pPr>
        <w:rPr>
          <w:highlight w:val="yellow"/>
        </w:rPr>
      </w:pPr>
      <w:r w:rsidRPr="00530AA2">
        <w:t xml:space="preserve">Of the interviewed households, 97.5% strongly agree or agree they feel safe in their home; 95.1% strongly agree or agree they feel safe in their community; 93.4% strongly agree or agree they have enough financial resources to meet their basic needs; 85.9% strongly agree or agree their community is a good place to raise children; 83.5% strongly agree or agree their community is a good place to grow old; 83.4% strongly agree or agree they can get the health care they need near their home; and 80.7% strongly agree or agree they can buy affordable healthy food near their home. Respondents identified access to health care and other services (57.9%), clean air/water (42.1%), and good jobs and a healthy economy (31.4%) as most important aspects to a health community. </w:t>
      </w:r>
    </w:p>
    <w:p w:rsidR="00A4322B" w:rsidRPr="005676D0" w:rsidRDefault="00A4322B" w:rsidP="00A4322B">
      <w:pPr>
        <w:rPr>
          <w:highlight w:val="yellow"/>
        </w:rPr>
      </w:pPr>
      <w:r w:rsidRPr="00D910E4">
        <w:t>Of the interviewed households, 78.9% rated their physical health as excellent, very good, or good; 60.5% rated their day-to-day stress level as moderate or high; 22.5% haven’t visited a dentist for 3 or more years; 19.8% currently smoke, chew tobacco or use vaping products; and 90.6% rate their mental health as excelling, very good, or good</w:t>
      </w:r>
      <w:r>
        <w:t>. The main reasons respondents hadn’t visited a dentist within the last year included don’t need a dental appointment (27.8%), fear or apprehension (16.7%), could not afford (13%), and no insurance (13%).</w:t>
      </w:r>
      <w:r w:rsidRPr="00D910E4">
        <w:t xml:space="preserve"> Respondents identified more parks, trails, or greenways (29.8%) and more/better sidewalks (29.8%) as improvements that would help them be more physically active. Thirty-three percent (33.9%) of interviewed persons stated the biggest barrier to being more physically active is they are too busy or don’t have time. Barriers to healthy eating include hard to find healthy choices outside the home (24.8%) healthy foods cost too much (18.2%), and takes too long to prepare and shop for healthy food (15.7%). </w:t>
      </w:r>
    </w:p>
    <w:p w:rsidR="00A4322B" w:rsidRDefault="00A4322B" w:rsidP="00A4322B">
      <w:r w:rsidRPr="006E7955">
        <w:t>Twenty-three percent (22.5%)</w:t>
      </w:r>
      <w:r>
        <w:t xml:space="preserve"> of respondents</w:t>
      </w:r>
      <w:r w:rsidRPr="006E7955">
        <w:t xml:space="preserve"> were unaware of programs to help pay for health </w:t>
      </w:r>
      <w:r w:rsidRPr="00535ACF">
        <w:t xml:space="preserve">care expenses and 23.1% did not get or were delayed in health care services in the past 12 months. Reasons health care services were delayed or not received included couldn’t get an appointment (46.4%), availability of services (32.1%),  costs too much (25.0%), insurance didn’t cover (17.9%) and too long to wait for an appointment (17.9%). Items identified that would improve access to health care include availability of walk-in clinics (52.1%), availability of visiting specialists (46.3%), and more primary care providers (33.1%). The most common preventive services used in the past year were routine health check-up with family physician (59.5%), routine blood pressure check (52.1%), and a cholesterol check (42.2%). About </w:t>
      </w:r>
      <w:r w:rsidRPr="004229AA">
        <w:t xml:space="preserve">half (49.6%) of persons interviewed received an influenza immunization within the last year. Friends/family (69.4%), health care provider (44.6%), radio (42.2%), and word of mouth/reputation (42.2%) were identified as the main sources of health services or health-related information available in the community. </w:t>
      </w:r>
    </w:p>
    <w:p w:rsidR="00A4322B" w:rsidRDefault="00A4322B" w:rsidP="00A4322B">
      <w:r>
        <w:lastRenderedPageBreak/>
        <w:t>Thirty-one percent (31.1%) of respondents stated someone in their household received medical attention for an injury in the last year. The main types of injuries included slips or falls (32.4%), sport injuries (24.3%), and household (16.2%).</w:t>
      </w:r>
    </w:p>
    <w:p w:rsidR="00A4322B" w:rsidRDefault="00A4322B" w:rsidP="00A4322B">
      <w:r>
        <w:t xml:space="preserve">Respondents would refer someone needing mental health services to Eastern Montana Community Mental Health Center (46.3%); healthcare provider (28.1%), and faith-based leader (26.5%). Respondents would refer someone needing substance abuse services to Eastern Montana Community Mental Health Center (36.4%), Alcoholics Anonymous (34.7%), and healthcare providers (31.4%). However, over 20% of respondents didn’t know where they would refer someone for mental health or substance abuse services. </w:t>
      </w:r>
    </w:p>
    <w:p w:rsidR="00A4322B" w:rsidRPr="00930A7D" w:rsidRDefault="00A4322B" w:rsidP="00A4322B">
      <w:r>
        <w:t>Communication used on a daily basis included cell phones (79.4), email (58.7%), texting (55.4%), and landline (52.1%). Slightly more than half of respondents (55/6%) stated their family had a basic emergency preparedness kit. The top three sources of information during a emergency or disaster included radio (76.0%), television (55.4%), and word of mouth (38.0%). If respondents had to leave their home during a emergency, they would go to a relative/friends (44.6%), emergency shelter (14.9%), and leave town (11.6%).</w:t>
      </w:r>
    </w:p>
    <w:p w:rsidR="003B3DD2" w:rsidRDefault="00A4322B" w:rsidP="003B3DD2">
      <w:r w:rsidRPr="00F33AED">
        <w:t>Issues perceived as big problems in Valley County included illegal drug abuse (57%), prescription drug abuse (38.3%), obesity (33.1%), and child abuse/neglect (25.6%).</w:t>
      </w:r>
    </w:p>
    <w:p w:rsidR="003B3DD2" w:rsidRPr="00501C18" w:rsidRDefault="003B3DD2" w:rsidP="003B3DD2">
      <w:pPr>
        <w:rPr>
          <w:b/>
          <w:sz w:val="24"/>
          <w:u w:val="single"/>
        </w:rPr>
      </w:pPr>
      <w:r w:rsidRPr="00501C18">
        <w:rPr>
          <w:b/>
          <w:sz w:val="24"/>
          <w:u w:val="single"/>
        </w:rPr>
        <w:t>Volunteer Evaluations</w:t>
      </w:r>
    </w:p>
    <w:p w:rsidR="001272DA" w:rsidRDefault="00E22497" w:rsidP="003B3DD2">
      <w:r>
        <w:t xml:space="preserve">All but </w:t>
      </w:r>
      <w:r w:rsidRPr="00363625">
        <w:t xml:space="preserve">three </w:t>
      </w:r>
      <w:r>
        <w:t xml:space="preserve">volunteers would definitely participate in a CASPER in the future. Overall, the volunteers felt their experience was good and they learned a lot in the process. Positive experiences from the CASPER included the willingness of people to participate, the number of volunteers, learning about people’s perceptions about Valley County, food, training, and working in teams. Volunteers felt the survey results could drive change in their communities. Volunteers recognized surveying takes a lot of time and energy. Some volunteers felt the survey was too long, the flow of the questions could be improved, the maps were confusing and could be improved, more sharing of volunteer phone numbers was needed, and data collection should have been at a different time and/or another day. </w:t>
      </w:r>
    </w:p>
    <w:p w:rsidR="00134186" w:rsidRPr="00501C18" w:rsidRDefault="00BD1779" w:rsidP="001272DA">
      <w:pPr>
        <w:rPr>
          <w:b/>
          <w:sz w:val="24"/>
          <w:u w:val="single"/>
        </w:rPr>
      </w:pPr>
      <w:r w:rsidRPr="00501C18">
        <w:rPr>
          <w:b/>
          <w:sz w:val="24"/>
          <w:u w:val="single"/>
        </w:rPr>
        <w:t xml:space="preserve">Discussion </w:t>
      </w:r>
    </w:p>
    <w:p w:rsidR="00E22497" w:rsidRDefault="00E22497" w:rsidP="00E22497">
      <w:r>
        <w:t>Successful collaborations occurred between the VCHD, FMDH, EMCMHC, PHSD, and other Valley County local public health system partners. Lessons learned during the process will help refine the technique for use in Valley County and in other Montana counties. VCHD, FMDH, and EMCMHC were able to successfully find and utilize a volunteer network within the community. The post-exercise evaluations showed persons participating in the CASPER would volunteer again if needed. VCHD now has a list of volunteers that can be engaged if needed for future exercises or emergency events. These collaborations helped strengthen relationships and define roles of partners during a CASPER. Practicing the technique will be invaluable to the county and state in the event a CASPER will be needed during an emergency or disaster situation.</w:t>
      </w:r>
    </w:p>
    <w:p w:rsidR="00E22497" w:rsidRDefault="00E22497" w:rsidP="00E22497">
      <w:r>
        <w:t xml:space="preserve">The CASPER met the stated purposes of improving the understanding </w:t>
      </w:r>
      <w:r w:rsidR="00C83E24">
        <w:t>of the health status of Valley</w:t>
      </w:r>
      <w:r>
        <w:t xml:space="preserve"> County, developing a volunteer workforce, and completing an em</w:t>
      </w:r>
      <w:r w:rsidR="00C83E24">
        <w:t>ergency preparedness exercise. V</w:t>
      </w:r>
      <w:r>
        <w:t xml:space="preserve">CHD and local public health system partners gained granular local data that can be used in addition to other </w:t>
      </w:r>
      <w:r>
        <w:lastRenderedPageBreak/>
        <w:t xml:space="preserve">data sources to direct resources and improve services. Areas for potential public health interventions include continued efforts to decrease smoking, improve seat belt usage, increase influenza vaccine coverage, and to increase routine dental care. Improvements can be made to increase awareness of programs to help pay for health care expenses and to ensure and improve access to health care services.  </w:t>
      </w:r>
    </w:p>
    <w:p w:rsidR="001272DA" w:rsidRPr="001272DA" w:rsidRDefault="00E22497" w:rsidP="00D8452B">
      <w:r>
        <w:t>Overall, resu</w:t>
      </w:r>
      <w:r w:rsidR="00C83E24">
        <w:t>lts show residents feel Valley</w:t>
      </w:r>
      <w:r>
        <w:t xml:space="preserve"> County is a good place to </w:t>
      </w:r>
      <w:r w:rsidR="00C83E24">
        <w:t>live, work, and retire. Valley</w:t>
      </w:r>
      <w:r>
        <w:t xml:space="preserve"> County residents identified key issues they felt required immediate attention including increasing the availability of affordable housing and addressing illegal drug use and tobacco use. The results should be shared with local leaders, planners, and other local public health system groups to start discussions about how to address these community-wide issues. </w:t>
      </w:r>
    </w:p>
    <w:p w:rsidR="00134186" w:rsidRPr="00501C18" w:rsidRDefault="00D8452B" w:rsidP="001272DA">
      <w:pPr>
        <w:rPr>
          <w:b/>
          <w:sz w:val="24"/>
          <w:u w:val="single"/>
        </w:rPr>
      </w:pPr>
      <w:r w:rsidRPr="00501C18">
        <w:rPr>
          <w:b/>
          <w:sz w:val="24"/>
          <w:u w:val="single"/>
        </w:rPr>
        <w:t>Limitations</w:t>
      </w:r>
    </w:p>
    <w:p w:rsidR="001272DA" w:rsidRDefault="001272DA" w:rsidP="001272DA">
      <w:r>
        <w:t>To create sampling weights, information from the 2010 Census was used to determine the household probab</w:t>
      </w:r>
      <w:r w:rsidR="00297EB8">
        <w:t>ility of being selected. Valley</w:t>
      </w:r>
      <w:r>
        <w:t xml:space="preserve"> County could have experienced population changes since 2010, and thus the Census data might not be representative of the current population. The discrepancy between the 2010 Census and the current status, would not, however, affect the unweighted frequencies presented in this report. </w:t>
      </w:r>
    </w:p>
    <w:p w:rsidR="00134186" w:rsidRPr="00501C18" w:rsidRDefault="00D8452B" w:rsidP="00134186">
      <w:pPr>
        <w:rPr>
          <w:b/>
          <w:sz w:val="24"/>
          <w:u w:val="single"/>
        </w:rPr>
      </w:pPr>
      <w:r w:rsidRPr="00501C18">
        <w:rPr>
          <w:b/>
          <w:sz w:val="24"/>
          <w:u w:val="single"/>
        </w:rPr>
        <w:t>Lessons Learned</w:t>
      </w:r>
    </w:p>
    <w:p w:rsidR="00E22497" w:rsidRDefault="00E22497" w:rsidP="00E22497">
      <w:pPr>
        <w:pStyle w:val="ListParagraph"/>
        <w:numPr>
          <w:ilvl w:val="0"/>
          <w:numId w:val="12"/>
        </w:numPr>
        <w:spacing w:after="120" w:line="240" w:lineRule="auto"/>
        <w:rPr>
          <w:b/>
        </w:rPr>
      </w:pPr>
      <w:r>
        <w:rPr>
          <w:b/>
        </w:rPr>
        <w:t>CASPERs are a good method to gather local primary data for community health assessments.</w:t>
      </w:r>
    </w:p>
    <w:p w:rsidR="00E22497" w:rsidRPr="00354381" w:rsidRDefault="00E22497" w:rsidP="00E22497">
      <w:pPr>
        <w:pStyle w:val="ListParagraph"/>
        <w:spacing w:after="120" w:line="240" w:lineRule="auto"/>
      </w:pPr>
      <w:r>
        <w:t>Because of Montana’s small population, granular local data can be hard to obtain. The CASPER method allows for collection of local data with population estimates. The data gained through a CASPER are invaluable to the health department and other local public health system partners for understanding the complete picture of community health.</w:t>
      </w:r>
    </w:p>
    <w:p w:rsidR="00E22497" w:rsidRDefault="00E22497" w:rsidP="00E22497">
      <w:pPr>
        <w:pStyle w:val="ListParagraph"/>
        <w:numPr>
          <w:ilvl w:val="0"/>
          <w:numId w:val="12"/>
        </w:numPr>
        <w:spacing w:after="120" w:line="240" w:lineRule="auto"/>
        <w:rPr>
          <w:b/>
        </w:rPr>
      </w:pPr>
      <w:r>
        <w:rPr>
          <w:b/>
        </w:rPr>
        <w:t>Ensure cluster maps are adequate.</w:t>
      </w:r>
    </w:p>
    <w:p w:rsidR="00E22497" w:rsidRPr="007F59C6" w:rsidRDefault="00E22497" w:rsidP="00E22497">
      <w:pPr>
        <w:pStyle w:val="ListParagraph"/>
        <w:spacing w:after="120" w:line="240" w:lineRule="auto"/>
        <w:rPr>
          <w:b/>
        </w:rPr>
      </w:pPr>
      <w:r>
        <w:t>Some of the cluster maps, especially the rural clusters, were not adequate. With future CASPERs, ensure both a street and topographic map are in the cluster packets with arrows designating the cluster entry point and more streets are labeled. These changes will decrease frustration for volunteer teams and ensure the correct households are being interviewed.</w:t>
      </w:r>
    </w:p>
    <w:p w:rsidR="00E22497" w:rsidRDefault="00E22497" w:rsidP="00E22497">
      <w:pPr>
        <w:pStyle w:val="ListParagraph"/>
        <w:numPr>
          <w:ilvl w:val="0"/>
          <w:numId w:val="12"/>
        </w:numPr>
        <w:rPr>
          <w:b/>
        </w:rPr>
      </w:pPr>
      <w:r>
        <w:rPr>
          <w:b/>
        </w:rPr>
        <w:t>Administer the survey at different times during the day or on multiple days.</w:t>
      </w:r>
    </w:p>
    <w:p w:rsidR="00E22497" w:rsidRPr="00071233" w:rsidRDefault="00E22497" w:rsidP="00E22497">
      <w:pPr>
        <w:pStyle w:val="ListParagraph"/>
      </w:pPr>
      <w:r>
        <w:t xml:space="preserve">As with the previous CASPER conducted in Montana, data collection dates and times are challenging. Many people were not home on a Saturday. Options to consider include two days of data collection with two sets of volunteers or to split volunteers into afternoon and evening groups. The biggest challenge of a CASPER is find the right time to ensure people are home. Multiple approached might need to be considered on future CASPERs. </w:t>
      </w:r>
    </w:p>
    <w:p w:rsidR="00E22497" w:rsidRDefault="00E22497" w:rsidP="00E22497">
      <w:pPr>
        <w:pStyle w:val="ListParagraph"/>
        <w:numPr>
          <w:ilvl w:val="0"/>
          <w:numId w:val="12"/>
        </w:numPr>
        <w:rPr>
          <w:b/>
        </w:rPr>
      </w:pPr>
      <w:r>
        <w:rPr>
          <w:b/>
        </w:rPr>
        <w:t>Continually improve the survey length and flow.</w:t>
      </w:r>
    </w:p>
    <w:p w:rsidR="00E22497" w:rsidRPr="00424F0B" w:rsidRDefault="00E22497" w:rsidP="00E22497">
      <w:pPr>
        <w:pStyle w:val="ListParagraph"/>
      </w:pPr>
      <w:r>
        <w:t xml:space="preserve">Some volunteers felt the survey was too long and the flow could be improved. As with any survey, improvements to questions can always be made to ensure the appropriate data is collected. </w:t>
      </w:r>
    </w:p>
    <w:p w:rsidR="00676E29" w:rsidRPr="00676E29" w:rsidRDefault="00DD21A4" w:rsidP="00676E29">
      <w:pPr>
        <w:pStyle w:val="ListParagraph"/>
        <w:numPr>
          <w:ilvl w:val="0"/>
          <w:numId w:val="12"/>
        </w:numPr>
        <w:spacing w:after="0" w:line="240" w:lineRule="auto"/>
        <w:rPr>
          <w:b/>
        </w:rPr>
      </w:pPr>
      <w:r w:rsidRPr="00676E29">
        <w:rPr>
          <w:b/>
        </w:rPr>
        <w:t>Regular meetings with executive planning committee</w:t>
      </w:r>
    </w:p>
    <w:p w:rsidR="00676E29" w:rsidRPr="00676E29" w:rsidRDefault="00676E29" w:rsidP="00676E29">
      <w:pPr>
        <w:spacing w:after="0" w:line="240" w:lineRule="auto"/>
        <w:ind w:left="720"/>
      </w:pPr>
      <w:r w:rsidRPr="00676E29">
        <w:t xml:space="preserve">Conducting regular meetings with the executive planning committee helped ensure the process kept moving forward and ensured communication occurred between all entities involved in the process. </w:t>
      </w:r>
    </w:p>
    <w:p w:rsidR="00DD21A4" w:rsidRDefault="00DD21A4" w:rsidP="00DD21A4">
      <w:pPr>
        <w:ind w:left="720"/>
        <w:rPr>
          <w:highlight w:val="yellow"/>
        </w:rPr>
      </w:pPr>
    </w:p>
    <w:p w:rsidR="00C355F4" w:rsidRPr="00DD21A4" w:rsidRDefault="00C355F4" w:rsidP="00DD21A4">
      <w:pPr>
        <w:ind w:left="720"/>
        <w:rPr>
          <w:highlight w:val="yellow"/>
        </w:rPr>
      </w:pPr>
    </w:p>
    <w:p w:rsidR="00C833C2" w:rsidRPr="00501C18" w:rsidRDefault="00D8452B" w:rsidP="00C833C2">
      <w:pPr>
        <w:rPr>
          <w:b/>
          <w:sz w:val="24"/>
          <w:u w:val="single"/>
        </w:rPr>
      </w:pPr>
      <w:r w:rsidRPr="00501C18">
        <w:rPr>
          <w:b/>
          <w:sz w:val="24"/>
          <w:u w:val="single"/>
        </w:rPr>
        <w:lastRenderedPageBreak/>
        <w:t>Recommendations</w:t>
      </w:r>
    </w:p>
    <w:p w:rsidR="00E22497" w:rsidRDefault="00E22497" w:rsidP="00E22497">
      <w:r>
        <w:t>Based on the results of the CASPER exercise, the following actions are recommended:</w:t>
      </w:r>
    </w:p>
    <w:p w:rsidR="00E22497" w:rsidRDefault="00E22497" w:rsidP="00E22497">
      <w:pPr>
        <w:pStyle w:val="ListParagraph"/>
        <w:numPr>
          <w:ilvl w:val="0"/>
          <w:numId w:val="13"/>
        </w:numPr>
        <w:rPr>
          <w:b/>
        </w:rPr>
      </w:pPr>
      <w:r>
        <w:rPr>
          <w:b/>
        </w:rPr>
        <w:t>Share the results of the survey with local public health system partners and use as part of the community health assessment.</w:t>
      </w:r>
    </w:p>
    <w:p w:rsidR="00E22497" w:rsidRPr="00233022" w:rsidRDefault="00E22497" w:rsidP="00E22497">
      <w:pPr>
        <w:pStyle w:val="ListParagraph"/>
      </w:pPr>
      <w:r>
        <w:t xml:space="preserve">Information gained in the CASPER will benefit local public health system partners and should be shared. VCHD, FMDH, and EMCMHC should use the results in addition to other data sources to determine community health priorities and in the development of a community health assessment and organizational strategic plan. </w:t>
      </w:r>
    </w:p>
    <w:p w:rsidR="00E22497" w:rsidRDefault="00E22497" w:rsidP="00E22497">
      <w:pPr>
        <w:pStyle w:val="ListParagraph"/>
        <w:numPr>
          <w:ilvl w:val="0"/>
          <w:numId w:val="13"/>
        </w:numPr>
        <w:rPr>
          <w:b/>
        </w:rPr>
      </w:pPr>
      <w:r w:rsidRPr="00047F18">
        <w:rPr>
          <w:b/>
        </w:rPr>
        <w:t>Continue to engage partners.</w:t>
      </w:r>
    </w:p>
    <w:p w:rsidR="00E22497" w:rsidRPr="00A57CD6" w:rsidRDefault="00E22497" w:rsidP="00E22497">
      <w:pPr>
        <w:pStyle w:val="ListParagraph"/>
        <w:rPr>
          <w:b/>
        </w:rPr>
      </w:pPr>
      <w:r>
        <w:t>Success of a CASPER or any community-based exercise is dependent on engagement and collaboration of partners. Partners were successfully engaged for collaboration during this project. Continued engagement of the partners will strengthen public health system and help ensure health priority areas are addressed in Valley County.</w:t>
      </w:r>
    </w:p>
    <w:p w:rsidR="00E22497" w:rsidRDefault="00E22497" w:rsidP="00E22497">
      <w:pPr>
        <w:pStyle w:val="ListParagraph"/>
        <w:numPr>
          <w:ilvl w:val="0"/>
          <w:numId w:val="13"/>
        </w:numPr>
        <w:rPr>
          <w:b/>
        </w:rPr>
      </w:pPr>
      <w:r w:rsidRPr="00047F18">
        <w:rPr>
          <w:b/>
        </w:rPr>
        <w:t>Continue to recruit and use volunteers regularly</w:t>
      </w:r>
      <w:r>
        <w:rPr>
          <w:b/>
        </w:rPr>
        <w:t>.</w:t>
      </w:r>
    </w:p>
    <w:p w:rsidR="00E22497" w:rsidRPr="005A2459" w:rsidRDefault="00E22497" w:rsidP="00E22497">
      <w:pPr>
        <w:pStyle w:val="ListParagraph"/>
      </w:pPr>
      <w:r>
        <w:t>CASPERs can use either a volunteer or deployable workforce. Volunteers were the basis of the field teams in this exercise. Volunteers found use in this exercise and were engaged during the process. A volunteer registry should be kept and continued use of volunteers for other exercises or projects should occur. If an emergency or disaster does occur, volunteer networks will already have been established and trained.</w:t>
      </w:r>
    </w:p>
    <w:p w:rsidR="00E22497" w:rsidRDefault="00E22497" w:rsidP="00E22497">
      <w:pPr>
        <w:pStyle w:val="ListParagraph"/>
        <w:numPr>
          <w:ilvl w:val="0"/>
          <w:numId w:val="13"/>
        </w:numPr>
        <w:rPr>
          <w:b/>
        </w:rPr>
      </w:pPr>
      <w:r>
        <w:rPr>
          <w:b/>
        </w:rPr>
        <w:t>Use the results to implement</w:t>
      </w:r>
      <w:r w:rsidRPr="00047F18">
        <w:rPr>
          <w:b/>
        </w:rPr>
        <w:t xml:space="preserve"> public health</w:t>
      </w:r>
      <w:r>
        <w:rPr>
          <w:b/>
        </w:rPr>
        <w:t xml:space="preserve"> interventions and create targeting public health</w:t>
      </w:r>
      <w:r w:rsidRPr="00047F18">
        <w:rPr>
          <w:b/>
        </w:rPr>
        <w:t xml:space="preserve"> messaging</w:t>
      </w:r>
      <w:r>
        <w:rPr>
          <w:b/>
        </w:rPr>
        <w:t>.</w:t>
      </w:r>
    </w:p>
    <w:p w:rsidR="00E22497" w:rsidRPr="00303798" w:rsidRDefault="00E22497" w:rsidP="00E22497">
      <w:pPr>
        <w:pStyle w:val="ListParagraph"/>
        <w:rPr>
          <w:b/>
        </w:rPr>
      </w:pPr>
      <w:r>
        <w:t xml:space="preserve">Information gained about the population of Valley County during this exercise should be used to implement public health interventions and targeted public health messaging, to help address issues to access to health care, and to provide information about resource allocation for issues within the county. </w:t>
      </w:r>
    </w:p>
    <w:p w:rsidR="00E22497" w:rsidRDefault="00E22497" w:rsidP="00E22497">
      <w:pPr>
        <w:pStyle w:val="ListParagraph"/>
        <w:numPr>
          <w:ilvl w:val="0"/>
          <w:numId w:val="13"/>
        </w:numPr>
        <w:rPr>
          <w:b/>
        </w:rPr>
      </w:pPr>
      <w:r w:rsidRPr="00047F18">
        <w:rPr>
          <w:b/>
        </w:rPr>
        <w:t>Create and maintain randomized cluster maps for each county in Montana to be ready to be used for an exercise to practice the technique or during an emergency or disaster</w:t>
      </w:r>
      <w:r>
        <w:rPr>
          <w:b/>
        </w:rPr>
        <w:t>.</w:t>
      </w:r>
    </w:p>
    <w:p w:rsidR="00F35F33" w:rsidRPr="00A140E5" w:rsidRDefault="00E22497" w:rsidP="00A140E5">
      <w:pPr>
        <w:pStyle w:val="ListParagraph"/>
      </w:pPr>
      <w:r>
        <w:t>One of the time consuming portions of the CASPER was combining census blocks, randomly selecting clusters, and creating detailed maps of the selected clusters. The Montana State Library provided the cluster maps for this CASPER; as no expertise exists within PHSD to complete the cluster mapping. PHSD should develop and maintain a bank of randomly selected clusters for each county in Montana. The state then would be able to provide this expertise to the counties for an exercise or during an emergency or disaster.</w:t>
      </w:r>
    </w:p>
    <w:sdt>
      <w:sdtPr>
        <w:id w:val="340440783"/>
        <w:docPartObj>
          <w:docPartGallery w:val="Cover Pages"/>
          <w:docPartUnique/>
        </w:docPartObj>
      </w:sdtPr>
      <w:sdtEndPr>
        <w:rPr>
          <w:rFonts w:asciiTheme="majorHAnsi" w:eastAsiaTheme="majorEastAsia" w:hAnsiTheme="majorHAnsi" w:cstheme="majorBidi"/>
          <w:lang w:eastAsia="ja-JP"/>
        </w:rPr>
      </w:sdtEndPr>
      <w:sdtContent>
        <w:p w:rsidR="00F35F33" w:rsidRDefault="00F35F33" w:rsidP="00F35F33"/>
        <w:p w:rsidR="00F35F33" w:rsidRDefault="00F35F33" w:rsidP="00F35F33"/>
        <w:p w:rsidR="00674851" w:rsidRDefault="00F35F33" w:rsidP="00674851">
          <w:pPr>
            <w:rPr>
              <w:rFonts w:asciiTheme="majorHAnsi" w:eastAsiaTheme="majorEastAsia" w:hAnsiTheme="majorHAnsi" w:cstheme="majorBidi"/>
              <w:lang w:eastAsia="ja-JP"/>
            </w:rPr>
          </w:pPr>
          <w:r>
            <w:rPr>
              <w:rFonts w:asciiTheme="majorHAnsi" w:eastAsiaTheme="majorEastAsia" w:hAnsiTheme="majorHAnsi" w:cstheme="majorBidi"/>
              <w:lang w:eastAsia="ja-JP"/>
            </w:rPr>
            <w:br w:type="page"/>
          </w:r>
        </w:p>
      </w:sdtContent>
    </w:sdt>
    <w:p w:rsidR="003B0921" w:rsidRPr="00270565" w:rsidRDefault="003B0921" w:rsidP="003B0921">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lastRenderedPageBreak/>
        <w:t>Frances Mahon Deaconess Hospital Community Needs Assessment</w:t>
      </w:r>
      <w:r w:rsidR="00F83559">
        <w:rPr>
          <w:rStyle w:val="EndnoteReference"/>
          <w:rFonts w:asciiTheme="majorHAnsi" w:eastAsiaTheme="majorEastAsia" w:hAnsiTheme="majorHAnsi" w:cstheme="majorBidi"/>
          <w:bCs/>
          <w:color w:val="000000" w:themeColor="text2" w:themeShade="BF"/>
          <w:spacing w:val="5"/>
          <w:kern w:val="28"/>
          <w:sz w:val="52"/>
          <w:szCs w:val="26"/>
        </w:rPr>
        <w:endnoteReference w:id="7"/>
      </w:r>
    </w:p>
    <w:p w:rsidR="003B0921" w:rsidRPr="001B3E82" w:rsidRDefault="003B0921" w:rsidP="00674851">
      <w:pPr>
        <w:rPr>
          <w:rFonts w:cstheme="minorHAnsi"/>
          <w:b/>
          <w:sz w:val="8"/>
        </w:rPr>
      </w:pPr>
    </w:p>
    <w:p w:rsidR="00F35F33" w:rsidRPr="00674851" w:rsidRDefault="00F35F33" w:rsidP="00674851">
      <w:pPr>
        <w:rPr>
          <w:rFonts w:eastAsiaTheme="majorEastAsia" w:cstheme="minorHAnsi"/>
          <w:b/>
          <w:sz w:val="24"/>
          <w:lang w:eastAsia="ja-JP"/>
        </w:rPr>
      </w:pPr>
      <w:r w:rsidRPr="00674851">
        <w:rPr>
          <w:rFonts w:cstheme="minorHAnsi"/>
          <w:b/>
          <w:sz w:val="24"/>
        </w:rPr>
        <w:t>Frances Mahon Deaconess Hospital Community Needs Assessment</w:t>
      </w:r>
    </w:p>
    <w:p w:rsidR="00F35F33" w:rsidRPr="00674851" w:rsidRDefault="00F35F33" w:rsidP="00F35F33">
      <w:pPr>
        <w:rPr>
          <w:rFonts w:cstheme="minorHAnsi"/>
          <w:b/>
          <w:u w:val="single"/>
        </w:rPr>
      </w:pPr>
      <w:r w:rsidRPr="00674851">
        <w:rPr>
          <w:rFonts w:cstheme="minorHAnsi"/>
        </w:rPr>
        <w:t>Based on results from the 2013 Frances Mahon Deaconess Hospital Community Needs Assessment the following represent some of the leading health priorities for the community.</w:t>
      </w:r>
    </w:p>
    <w:p w:rsidR="00F35F33" w:rsidRPr="00674851" w:rsidRDefault="00F35F33" w:rsidP="00F35F33">
      <w:pPr>
        <w:pStyle w:val="ListParagraph"/>
        <w:numPr>
          <w:ilvl w:val="0"/>
          <w:numId w:val="18"/>
        </w:numPr>
        <w:rPr>
          <w:rFonts w:cstheme="minorHAnsi"/>
          <w:b/>
          <w:color w:val="0070C0"/>
        </w:rPr>
        <w:sectPr w:rsidR="00F35F33" w:rsidRPr="00674851" w:rsidSect="000D03C3">
          <w:footerReference w:type="default" r:id="rId23"/>
          <w:type w:val="continuous"/>
          <w:pgSz w:w="12240" w:h="15840" w:code="1"/>
          <w:pgMar w:top="1008" w:right="1440" w:bottom="1008" w:left="1440" w:header="720" w:footer="288" w:gutter="0"/>
          <w:pgNumType w:start="0"/>
          <w:cols w:space="720"/>
          <w:titlePg/>
          <w:docGrid w:linePitch="360"/>
        </w:sectPr>
      </w:pP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lastRenderedPageBreak/>
        <w:t>A</w:t>
      </w:r>
      <w:r w:rsidRPr="001B3E82">
        <w:rPr>
          <w:rFonts w:cstheme="minorHAnsi"/>
          <w:b/>
          <w:color w:val="0070C0"/>
        </w:rPr>
        <w:t>ccess to Healthcare Services</w:t>
      </w:r>
    </w:p>
    <w:p w:rsidR="00F35F33" w:rsidRPr="00674851" w:rsidRDefault="00F35F33" w:rsidP="00F35F33">
      <w:pPr>
        <w:pStyle w:val="ListParagraph"/>
        <w:numPr>
          <w:ilvl w:val="1"/>
          <w:numId w:val="18"/>
        </w:numPr>
        <w:rPr>
          <w:rFonts w:cstheme="minorHAnsi"/>
          <w:b/>
        </w:rPr>
      </w:pPr>
      <w:r w:rsidRPr="00674851">
        <w:rPr>
          <w:rFonts w:cstheme="minorHAnsi"/>
          <w:b/>
        </w:rPr>
        <w:t>Lack of Healthcare Coverage</w:t>
      </w:r>
    </w:p>
    <w:p w:rsidR="00F35F33" w:rsidRPr="00674851" w:rsidRDefault="00F35F33" w:rsidP="00F35F33">
      <w:pPr>
        <w:pStyle w:val="ListParagraph"/>
        <w:numPr>
          <w:ilvl w:val="1"/>
          <w:numId w:val="18"/>
        </w:numPr>
        <w:rPr>
          <w:rFonts w:cstheme="minorHAnsi"/>
          <w:b/>
        </w:rPr>
      </w:pPr>
      <w:r w:rsidRPr="00674851">
        <w:rPr>
          <w:rFonts w:cstheme="minorHAnsi"/>
          <w:b/>
        </w:rPr>
        <w:t>Barriers to Accessing Healthcare</w:t>
      </w:r>
    </w:p>
    <w:p w:rsidR="00F35F33" w:rsidRPr="00674851" w:rsidRDefault="00F35F33" w:rsidP="00F35F33">
      <w:pPr>
        <w:pStyle w:val="ListParagraph"/>
        <w:numPr>
          <w:ilvl w:val="1"/>
          <w:numId w:val="18"/>
        </w:numPr>
        <w:rPr>
          <w:rFonts w:cstheme="minorHAnsi"/>
          <w:b/>
        </w:rPr>
      </w:pPr>
      <w:r w:rsidRPr="00674851">
        <w:rPr>
          <w:rFonts w:cstheme="minorHAnsi"/>
          <w:b/>
        </w:rPr>
        <w:t>Access to Dental Care</w:t>
      </w: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t>Cancer</w:t>
      </w:r>
    </w:p>
    <w:p w:rsidR="00F35F33" w:rsidRPr="00674851" w:rsidRDefault="00F35F33" w:rsidP="00F35F33">
      <w:pPr>
        <w:pStyle w:val="ListParagraph"/>
        <w:numPr>
          <w:ilvl w:val="1"/>
          <w:numId w:val="18"/>
        </w:numPr>
        <w:rPr>
          <w:rFonts w:cstheme="minorHAnsi"/>
          <w:b/>
        </w:rPr>
      </w:pPr>
      <w:r w:rsidRPr="00674851">
        <w:rPr>
          <w:rFonts w:cstheme="minorHAnsi"/>
          <w:b/>
        </w:rPr>
        <w:t>Cancer Screenings</w:t>
      </w: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t>Heart Disease and Stroke</w:t>
      </w:r>
    </w:p>
    <w:p w:rsidR="00F35F33" w:rsidRPr="00674851" w:rsidRDefault="00F35F33" w:rsidP="00F35F33">
      <w:pPr>
        <w:pStyle w:val="ListParagraph"/>
        <w:numPr>
          <w:ilvl w:val="1"/>
          <w:numId w:val="18"/>
        </w:numPr>
        <w:rPr>
          <w:rFonts w:cstheme="minorHAnsi"/>
          <w:b/>
        </w:rPr>
      </w:pPr>
      <w:r w:rsidRPr="00674851">
        <w:rPr>
          <w:rFonts w:cstheme="minorHAnsi"/>
          <w:b/>
        </w:rPr>
        <w:t>Hyperlipidemia</w:t>
      </w:r>
    </w:p>
    <w:p w:rsidR="00F35F33" w:rsidRPr="00674851" w:rsidRDefault="00F35F33" w:rsidP="00F35F33">
      <w:pPr>
        <w:pStyle w:val="ListParagraph"/>
        <w:numPr>
          <w:ilvl w:val="1"/>
          <w:numId w:val="18"/>
        </w:numPr>
        <w:rPr>
          <w:rFonts w:cstheme="minorHAnsi"/>
          <w:b/>
        </w:rPr>
      </w:pPr>
      <w:r w:rsidRPr="00674851">
        <w:rPr>
          <w:rFonts w:cstheme="minorHAnsi"/>
          <w:b/>
        </w:rPr>
        <w:t>Hypertension</w:t>
      </w: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lastRenderedPageBreak/>
        <w:t>Mental Health and Substance Abuse</w:t>
      </w:r>
    </w:p>
    <w:p w:rsidR="00F35F33" w:rsidRPr="00674851" w:rsidRDefault="00F35F33" w:rsidP="00F35F33">
      <w:pPr>
        <w:pStyle w:val="ListParagraph"/>
        <w:numPr>
          <w:ilvl w:val="1"/>
          <w:numId w:val="18"/>
        </w:numPr>
        <w:rPr>
          <w:rFonts w:cstheme="minorHAnsi"/>
          <w:b/>
        </w:rPr>
      </w:pPr>
      <w:r w:rsidRPr="00674851">
        <w:rPr>
          <w:rFonts w:cstheme="minorHAnsi"/>
          <w:b/>
        </w:rPr>
        <w:t>Facilities, Resources &amp; Access</w:t>
      </w: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t>Tobacco</w:t>
      </w:r>
    </w:p>
    <w:p w:rsidR="00F35F33" w:rsidRPr="00674851" w:rsidRDefault="00F35F33" w:rsidP="00F35F33">
      <w:pPr>
        <w:pStyle w:val="ListParagraph"/>
        <w:numPr>
          <w:ilvl w:val="1"/>
          <w:numId w:val="18"/>
        </w:numPr>
        <w:rPr>
          <w:rFonts w:cstheme="minorHAnsi"/>
          <w:b/>
        </w:rPr>
      </w:pPr>
      <w:r w:rsidRPr="00674851">
        <w:rPr>
          <w:rFonts w:cstheme="minorHAnsi"/>
          <w:b/>
        </w:rPr>
        <w:t>Use of Tobacco Products</w:t>
      </w: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t>Respiratory Disease</w:t>
      </w:r>
    </w:p>
    <w:p w:rsidR="00F35F33" w:rsidRPr="00674851" w:rsidRDefault="00F35F33" w:rsidP="00F35F33">
      <w:pPr>
        <w:pStyle w:val="ListParagraph"/>
        <w:numPr>
          <w:ilvl w:val="1"/>
          <w:numId w:val="18"/>
        </w:numPr>
        <w:rPr>
          <w:rFonts w:cstheme="minorHAnsi"/>
          <w:b/>
        </w:rPr>
      </w:pPr>
      <w:r w:rsidRPr="00674851">
        <w:rPr>
          <w:rFonts w:cstheme="minorHAnsi"/>
          <w:b/>
        </w:rPr>
        <w:t>Incidence and Prevalence</w:t>
      </w:r>
    </w:p>
    <w:p w:rsidR="00F35F33" w:rsidRPr="00674851" w:rsidRDefault="00F35F33" w:rsidP="00F35F33">
      <w:pPr>
        <w:pStyle w:val="ListParagraph"/>
        <w:numPr>
          <w:ilvl w:val="0"/>
          <w:numId w:val="18"/>
        </w:numPr>
        <w:rPr>
          <w:rFonts w:cstheme="minorHAnsi"/>
          <w:b/>
          <w:color w:val="0070C0"/>
        </w:rPr>
      </w:pPr>
      <w:r w:rsidRPr="00674851">
        <w:rPr>
          <w:rFonts w:cstheme="minorHAnsi"/>
          <w:b/>
          <w:color w:val="0070C0"/>
        </w:rPr>
        <w:t>Nutrition and Overweight</w:t>
      </w:r>
    </w:p>
    <w:p w:rsidR="00F35F33" w:rsidRPr="00674851" w:rsidRDefault="00F35F33" w:rsidP="00F35F33">
      <w:pPr>
        <w:pStyle w:val="ListParagraph"/>
        <w:numPr>
          <w:ilvl w:val="1"/>
          <w:numId w:val="18"/>
        </w:numPr>
        <w:rPr>
          <w:rFonts w:cstheme="minorHAnsi"/>
          <w:b/>
        </w:rPr>
      </w:pPr>
      <w:r w:rsidRPr="00674851">
        <w:rPr>
          <w:rFonts w:cstheme="minorHAnsi"/>
          <w:b/>
        </w:rPr>
        <w:t>Overweight/Obesity Prevalence</w:t>
      </w:r>
    </w:p>
    <w:p w:rsidR="00F35F33" w:rsidRPr="00674851" w:rsidRDefault="00F35F33" w:rsidP="00F35F33">
      <w:pPr>
        <w:pStyle w:val="ListParagraph"/>
        <w:numPr>
          <w:ilvl w:val="1"/>
          <w:numId w:val="18"/>
        </w:numPr>
        <w:rPr>
          <w:rFonts w:cstheme="minorHAnsi"/>
          <w:b/>
        </w:rPr>
      </w:pPr>
      <w:r w:rsidRPr="00674851">
        <w:rPr>
          <w:rFonts w:cstheme="minorHAnsi"/>
          <w:b/>
        </w:rPr>
        <w:t>Physical Activity Levels</w:t>
      </w:r>
    </w:p>
    <w:p w:rsidR="00F35F33" w:rsidRDefault="00F35F33" w:rsidP="00F35F33">
      <w:pPr>
        <w:pStyle w:val="ListParagraph"/>
        <w:numPr>
          <w:ilvl w:val="1"/>
          <w:numId w:val="18"/>
        </w:numPr>
        <w:rPr>
          <w:rFonts w:ascii="Garamond" w:hAnsi="Garamond"/>
          <w:b/>
          <w:sz w:val="18"/>
        </w:rPr>
        <w:sectPr w:rsidR="00F35F33" w:rsidSect="002E496F">
          <w:type w:val="continuous"/>
          <w:pgSz w:w="12240" w:h="15840"/>
          <w:pgMar w:top="720" w:right="1440" w:bottom="720" w:left="1440" w:header="720" w:footer="720" w:gutter="0"/>
          <w:pgNumType w:start="0"/>
          <w:cols w:num="2" w:space="720"/>
          <w:titlePg/>
          <w:docGrid w:linePitch="360"/>
        </w:sectPr>
      </w:pPr>
    </w:p>
    <w:p w:rsidR="007D206A" w:rsidRDefault="007D206A" w:rsidP="00F35F33">
      <w:pPr>
        <w:rPr>
          <w:rFonts w:ascii="Garamond" w:hAnsi="Garamond"/>
          <w:b/>
          <w:color w:val="0070C0"/>
        </w:rPr>
      </w:pPr>
    </w:p>
    <w:p w:rsidR="007D206A" w:rsidRDefault="007D206A">
      <w:pPr>
        <w:rPr>
          <w:rFonts w:ascii="Garamond" w:hAnsi="Garamond"/>
          <w:b/>
          <w:color w:val="0070C0"/>
        </w:rPr>
      </w:pPr>
      <w:r>
        <w:rPr>
          <w:rFonts w:ascii="Garamond" w:hAnsi="Garamond"/>
          <w:b/>
          <w:color w:val="0070C0"/>
        </w:rPr>
        <w:br w:type="page"/>
      </w:r>
    </w:p>
    <w:p w:rsidR="00055B8B" w:rsidRDefault="00284C67" w:rsidP="00F35F33">
      <w:pPr>
        <w:rPr>
          <w:rFonts w:ascii="Garamond" w:hAnsi="Garamond"/>
          <w:b/>
          <w:color w:val="0070C0"/>
        </w:rPr>
      </w:pPr>
      <w:r w:rsidRPr="00284C67">
        <w:rPr>
          <w:noProof/>
        </w:rPr>
        <w:lastRenderedPageBreak/>
        <w:pict>
          <v:rect id="Rectangle 457" o:spid="_x0000_s1032" style="position:absolute;margin-left:22.85pt;margin-top:14.5pt;width:565.85pt;height:760.3pt;z-index:251699712;visibility:visible;mso-height-percent:960;mso-position-horizontal-relative:page;mso-position-vertical-relative:page;mso-height-percent:9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" fillcolor="#267b1f" stroked="f" strokeweight="1pt">
            <v:path arrowok="t"/>
            <v:textbox inset="14.4pt,,14.4pt">
              <w:txbxContent>
                <w:p w:rsidR="007D206A" w:rsidRPr="00E85620" w:rsidRDefault="007D206A" w:rsidP="007D206A">
                  <w:pPr>
                    <w:pStyle w:val="Subtitle"/>
                    <w:rPr>
                      <w:color w:val="FFFFFF" w:themeColor="background1"/>
                      <w:sz w:val="64"/>
                      <w:szCs w:val="64"/>
                    </w:rPr>
                  </w:pPr>
                  <w:r>
                    <w:rPr>
                      <w:color w:val="FFFFFF" w:themeColor="background1"/>
                      <w:sz w:val="64"/>
                      <w:szCs w:val="64"/>
                      <w:lang w:eastAsia="ja-JP"/>
                    </w:rPr>
                    <w:t>Priority Areas</w:t>
                  </w:r>
                </w:p>
              </w:txbxContent>
            </v:textbox>
            <w10:wrap anchorx="page" anchory="page"/>
          </v:rect>
        </w:pict>
      </w:r>
    </w:p>
    <w:p w:rsidR="00C67FAB" w:rsidRDefault="00C67FAB" w:rsidP="00F35F33">
      <w:pPr>
        <w:rPr>
          <w:rFonts w:ascii="Garamond" w:hAnsi="Garamond"/>
          <w:b/>
          <w:color w:val="0070C0"/>
        </w:rPr>
      </w:pPr>
    </w:p>
    <w:p w:rsidR="00C67FAB" w:rsidRDefault="00C67FAB"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7D206A" w:rsidRDefault="007D206A" w:rsidP="00F35F33">
      <w:pPr>
        <w:rPr>
          <w:rFonts w:ascii="Garamond" w:hAnsi="Garamond"/>
          <w:b/>
          <w:color w:val="0070C0"/>
        </w:rPr>
      </w:pPr>
    </w:p>
    <w:p w:rsidR="00C67FAB" w:rsidRDefault="00C67FAB" w:rsidP="00F35F33">
      <w:pPr>
        <w:rPr>
          <w:rFonts w:ascii="Garamond" w:hAnsi="Garamond"/>
          <w:b/>
          <w:color w:val="0070C0"/>
        </w:rPr>
      </w:pPr>
    </w:p>
    <w:p w:rsidR="00C67FAB" w:rsidRDefault="00C67FAB" w:rsidP="00F35F33">
      <w:pPr>
        <w:rPr>
          <w:rFonts w:ascii="Garamond" w:hAnsi="Garamond"/>
          <w:b/>
          <w:color w:val="0070C0"/>
        </w:rPr>
      </w:pPr>
    </w:p>
    <w:p w:rsidR="00C67FAB" w:rsidRDefault="00C67FAB" w:rsidP="00F35F33">
      <w:pPr>
        <w:rPr>
          <w:rFonts w:ascii="Garamond" w:hAnsi="Garamond"/>
          <w:b/>
          <w:color w:val="0070C0"/>
        </w:rPr>
      </w:pPr>
    </w:p>
    <w:p w:rsidR="00C67FAB" w:rsidRDefault="00C67FAB" w:rsidP="00F35F33">
      <w:pPr>
        <w:rPr>
          <w:rFonts w:ascii="Garamond" w:hAnsi="Garamond"/>
          <w:b/>
          <w:color w:val="0070C0"/>
        </w:rPr>
      </w:pPr>
    </w:p>
    <w:p w:rsidR="00C67FAB" w:rsidRDefault="00C67FAB" w:rsidP="00F35F33">
      <w:pPr>
        <w:rPr>
          <w:rFonts w:ascii="Garamond" w:hAnsi="Garamond"/>
          <w:b/>
          <w:color w:val="0070C0"/>
        </w:rPr>
      </w:pPr>
    </w:p>
    <w:p w:rsidR="00545C79" w:rsidRDefault="00545C79" w:rsidP="00F35F33">
      <w:pPr>
        <w:rPr>
          <w:rFonts w:ascii="Garamond" w:hAnsi="Garamond"/>
          <w:b/>
          <w:color w:val="0070C0"/>
        </w:rPr>
      </w:pPr>
    </w:p>
    <w:p w:rsidR="00545C79" w:rsidRDefault="00545C79" w:rsidP="00F35F33">
      <w:pPr>
        <w:rPr>
          <w:rFonts w:ascii="Garamond" w:hAnsi="Garamond"/>
          <w:b/>
          <w:color w:val="0070C0"/>
        </w:rPr>
      </w:pPr>
    </w:p>
    <w:p w:rsidR="00545C79" w:rsidRDefault="00545C79" w:rsidP="00F35F33">
      <w:pPr>
        <w:rPr>
          <w:rFonts w:ascii="Garamond" w:hAnsi="Garamond"/>
          <w:b/>
          <w:color w:val="0070C0"/>
        </w:rPr>
      </w:pPr>
    </w:p>
    <w:p w:rsidR="00545C79" w:rsidRDefault="00545C79" w:rsidP="00F35F33">
      <w:pPr>
        <w:rPr>
          <w:rFonts w:ascii="Garamond" w:hAnsi="Garamond"/>
          <w:b/>
          <w:color w:val="0070C0"/>
        </w:rPr>
      </w:pPr>
    </w:p>
    <w:p w:rsidR="00545C79" w:rsidRDefault="00545C79" w:rsidP="00F35F33">
      <w:pPr>
        <w:rPr>
          <w:rFonts w:ascii="Garamond" w:hAnsi="Garamond"/>
          <w:b/>
          <w:color w:val="0070C0"/>
        </w:rPr>
      </w:pPr>
    </w:p>
    <w:p w:rsidR="00545C79" w:rsidRDefault="00545C79" w:rsidP="00F35F33">
      <w:pPr>
        <w:rPr>
          <w:rFonts w:ascii="Garamond" w:hAnsi="Garamond"/>
          <w:b/>
          <w:color w:val="0070C0"/>
        </w:rPr>
      </w:pPr>
    </w:p>
    <w:p w:rsidR="00545C79" w:rsidRDefault="00545C79" w:rsidP="00F35F33">
      <w:pPr>
        <w:rPr>
          <w:rFonts w:ascii="Garamond" w:hAnsi="Garamond"/>
          <w:b/>
          <w:color w:val="0070C0"/>
        </w:rPr>
      </w:pPr>
    </w:p>
    <w:p w:rsidR="00545C79" w:rsidRPr="00270565" w:rsidRDefault="00545C79" w:rsidP="00545C79">
      <w:pPr>
        <w:pBdr>
          <w:bottom w:val="single" w:sz="8" w:space="4" w:color="DDDDDD" w:themeColor="accent1"/>
        </w:pBdr>
        <w:spacing w:after="300" w:line="240" w:lineRule="auto"/>
        <w:ind w:left="-360"/>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t>Community Health Assessment Priority Ranking Sheet</w:t>
      </w:r>
    </w:p>
    <w:p w:rsidR="00C67FAB" w:rsidRDefault="00C67FAB" w:rsidP="00545C79">
      <w:pPr>
        <w:ind w:left="-900"/>
        <w:rPr>
          <w:rFonts w:ascii="Garamond" w:hAnsi="Garamond"/>
          <w:b/>
          <w:u w:val="single"/>
        </w:rPr>
      </w:pPr>
    </w:p>
    <w:tbl>
      <w:tblPr>
        <w:tblW w:w="10260" w:type="dxa"/>
        <w:tblInd w:w="-795" w:type="dxa"/>
        <w:tblLayout w:type="fixed"/>
        <w:tblLook w:val="04A0"/>
      </w:tblPr>
      <w:tblGrid>
        <w:gridCol w:w="700"/>
        <w:gridCol w:w="923"/>
        <w:gridCol w:w="946"/>
        <w:gridCol w:w="854"/>
        <w:gridCol w:w="900"/>
        <w:gridCol w:w="1080"/>
        <w:gridCol w:w="630"/>
        <w:gridCol w:w="1260"/>
        <w:gridCol w:w="987"/>
        <w:gridCol w:w="990"/>
        <w:gridCol w:w="990"/>
      </w:tblGrid>
      <w:tr w:rsidR="00C67FAB" w:rsidRPr="00545C79" w:rsidTr="00545C79">
        <w:trPr>
          <w:trHeight w:val="360"/>
        </w:trPr>
        <w:tc>
          <w:tcPr>
            <w:tcW w:w="70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923"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946"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854"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90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108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63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126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987"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99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c>
          <w:tcPr>
            <w:tcW w:w="990" w:type="dxa"/>
            <w:tcBorders>
              <w:top w:val="nil"/>
              <w:left w:val="nil"/>
              <w:right w:val="nil"/>
            </w:tcBorders>
            <w:shd w:val="clear" w:color="auto" w:fill="auto"/>
            <w:noWrap/>
            <w:vAlign w:val="bottom"/>
            <w:hideMark/>
          </w:tcPr>
          <w:p w:rsidR="00C67FAB" w:rsidRPr="00545C79" w:rsidRDefault="00C67FAB" w:rsidP="00C67FAB">
            <w:pPr>
              <w:spacing w:after="0" w:line="240" w:lineRule="auto"/>
              <w:rPr>
                <w:rFonts w:ascii="Times New Roman" w:eastAsia="Times New Roman" w:hAnsi="Times New Roman" w:cs="Times New Roman"/>
                <w:sz w:val="20"/>
                <w:szCs w:val="20"/>
              </w:rPr>
            </w:pPr>
          </w:p>
        </w:tc>
      </w:tr>
      <w:tr w:rsidR="00C67FAB" w:rsidRPr="00545C79" w:rsidTr="00545C79">
        <w:trPr>
          <w:trHeight w:val="525"/>
        </w:trPr>
        <w:tc>
          <w:tcPr>
            <w:tcW w:w="700"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 </w:t>
            </w:r>
          </w:p>
        </w:tc>
        <w:tc>
          <w:tcPr>
            <w:tcW w:w="923"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Heart Disease</w:t>
            </w:r>
          </w:p>
        </w:tc>
        <w:tc>
          <w:tcPr>
            <w:tcW w:w="946"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 </w:t>
            </w:r>
          </w:p>
        </w:tc>
        <w:tc>
          <w:tcPr>
            <w:tcW w:w="854"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Mental Health</w:t>
            </w:r>
          </w:p>
        </w:tc>
        <w:tc>
          <w:tcPr>
            <w:tcW w:w="900"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 </w:t>
            </w:r>
          </w:p>
        </w:tc>
        <w:tc>
          <w:tcPr>
            <w:tcW w:w="1080" w:type="dxa"/>
            <w:shd w:val="clear" w:color="auto" w:fill="auto"/>
            <w:vAlign w:val="bottom"/>
            <w:hideMark/>
          </w:tcPr>
          <w:p w:rsidR="00C67FAB" w:rsidRPr="00545C79" w:rsidRDefault="00545C79" w:rsidP="00C67FAB">
            <w:pPr>
              <w:spacing w:after="0" w:line="240" w:lineRule="auto"/>
              <w:rPr>
                <w:rFonts w:eastAsia="Times New Roman" w:cstheme="minorHAnsi"/>
                <w:bCs/>
                <w:color w:val="000000"/>
                <w:sz w:val="20"/>
                <w:szCs w:val="20"/>
              </w:rPr>
            </w:pPr>
            <w:r w:rsidRPr="00545C79">
              <w:rPr>
                <w:rFonts w:eastAsia="Times New Roman" w:cstheme="minorHAnsi"/>
                <w:bCs/>
                <w:color w:val="000000"/>
                <w:sz w:val="20"/>
                <w:szCs w:val="20"/>
              </w:rPr>
              <w:t>Nutrition</w:t>
            </w:r>
          </w:p>
          <w:p w:rsidR="00C67FAB" w:rsidRPr="00545C79" w:rsidRDefault="00545C79" w:rsidP="00C67FAB">
            <w:pPr>
              <w:spacing w:after="0" w:line="240" w:lineRule="auto"/>
              <w:rPr>
                <w:rFonts w:eastAsia="Times New Roman" w:cstheme="minorHAnsi"/>
                <w:bCs/>
                <w:color w:val="000000"/>
                <w:sz w:val="20"/>
                <w:szCs w:val="20"/>
              </w:rPr>
            </w:pPr>
            <w:r w:rsidRPr="00545C79">
              <w:rPr>
                <w:rFonts w:eastAsia="Times New Roman" w:cstheme="minorHAnsi"/>
                <w:bCs/>
                <w:color w:val="000000"/>
                <w:sz w:val="20"/>
                <w:szCs w:val="20"/>
              </w:rPr>
              <w:t>/</w:t>
            </w:r>
            <w:r w:rsidR="00C67FAB" w:rsidRPr="00545C79">
              <w:rPr>
                <w:rFonts w:eastAsia="Times New Roman" w:cstheme="minorHAnsi"/>
                <w:bCs/>
                <w:color w:val="000000"/>
                <w:sz w:val="20"/>
                <w:szCs w:val="20"/>
              </w:rPr>
              <w:t>Weight</w:t>
            </w:r>
          </w:p>
        </w:tc>
        <w:tc>
          <w:tcPr>
            <w:tcW w:w="630"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 </w:t>
            </w:r>
          </w:p>
        </w:tc>
        <w:tc>
          <w:tcPr>
            <w:tcW w:w="1260" w:type="dxa"/>
            <w:shd w:val="clear" w:color="auto" w:fill="auto"/>
            <w:vAlign w:val="bottom"/>
            <w:hideMark/>
          </w:tcPr>
          <w:p w:rsidR="00C67FAB" w:rsidRPr="00545C79" w:rsidRDefault="00545C79"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Subst</w:t>
            </w:r>
            <w:r w:rsidR="00C67FAB" w:rsidRPr="00545C79">
              <w:rPr>
                <w:rFonts w:eastAsia="Times New Roman" w:cstheme="minorHAnsi"/>
                <w:bCs/>
                <w:color w:val="000000"/>
                <w:sz w:val="20"/>
                <w:szCs w:val="20"/>
              </w:rPr>
              <w:t>ance Abuse</w:t>
            </w:r>
          </w:p>
        </w:tc>
        <w:tc>
          <w:tcPr>
            <w:tcW w:w="987"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 </w:t>
            </w:r>
          </w:p>
        </w:tc>
        <w:tc>
          <w:tcPr>
            <w:tcW w:w="990"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Tobacco Abuse</w:t>
            </w:r>
          </w:p>
        </w:tc>
        <w:tc>
          <w:tcPr>
            <w:tcW w:w="990" w:type="dxa"/>
            <w:shd w:val="clear" w:color="auto" w:fill="auto"/>
            <w:vAlign w:val="bottom"/>
            <w:hideMark/>
          </w:tcPr>
          <w:p w:rsidR="00C67FAB" w:rsidRPr="00545C79" w:rsidRDefault="00C67FAB" w:rsidP="00C67FAB">
            <w:pPr>
              <w:spacing w:after="0" w:line="240" w:lineRule="auto"/>
              <w:jc w:val="center"/>
              <w:rPr>
                <w:rFonts w:eastAsia="Times New Roman" w:cstheme="minorHAnsi"/>
                <w:bCs/>
                <w:color w:val="000000"/>
                <w:sz w:val="20"/>
                <w:szCs w:val="20"/>
              </w:rPr>
            </w:pPr>
            <w:r w:rsidRPr="00545C79">
              <w:rPr>
                <w:rFonts w:eastAsia="Times New Roman" w:cstheme="minorHAnsi"/>
                <w:bCs/>
                <w:color w:val="000000"/>
                <w:sz w:val="20"/>
                <w:szCs w:val="20"/>
              </w:rPr>
              <w:t> </w:t>
            </w:r>
          </w:p>
        </w:tc>
      </w:tr>
    </w:tbl>
    <w:p w:rsidR="00C67FAB" w:rsidRPr="00545C79" w:rsidRDefault="00C67FAB">
      <w:pPr>
        <w:rPr>
          <w:rFonts w:cstheme="minorHAnsi"/>
          <w:sz w:val="2"/>
        </w:rPr>
      </w:pPr>
    </w:p>
    <w:tbl>
      <w:tblPr>
        <w:tblW w:w="10260" w:type="dxa"/>
        <w:tblInd w:w="-795" w:type="dxa"/>
        <w:tblLayout w:type="fixed"/>
        <w:tblLook w:val="04A0"/>
      </w:tblPr>
      <w:tblGrid>
        <w:gridCol w:w="700"/>
        <w:gridCol w:w="923"/>
        <w:gridCol w:w="946"/>
        <w:gridCol w:w="854"/>
        <w:gridCol w:w="946"/>
        <w:gridCol w:w="941"/>
        <w:gridCol w:w="900"/>
        <w:gridCol w:w="990"/>
        <w:gridCol w:w="1080"/>
        <w:gridCol w:w="990"/>
        <w:gridCol w:w="990"/>
      </w:tblGrid>
      <w:tr w:rsidR="00C67FAB" w:rsidRPr="00545C79" w:rsidTr="00C67FAB">
        <w:trPr>
          <w:trHeight w:val="255"/>
        </w:trPr>
        <w:tc>
          <w:tcPr>
            <w:tcW w:w="700" w:type="dxa"/>
            <w:tcBorders>
              <w:top w:val="single" w:sz="4"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p>
        </w:tc>
        <w:tc>
          <w:tcPr>
            <w:tcW w:w="923"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1 - Scope</w:t>
            </w:r>
          </w:p>
        </w:tc>
        <w:tc>
          <w:tcPr>
            <w:tcW w:w="946"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1 - Impact</w:t>
            </w:r>
          </w:p>
        </w:tc>
        <w:tc>
          <w:tcPr>
            <w:tcW w:w="854"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2 - Scope</w:t>
            </w:r>
          </w:p>
        </w:tc>
        <w:tc>
          <w:tcPr>
            <w:tcW w:w="946"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2 - Impact</w:t>
            </w:r>
          </w:p>
        </w:tc>
        <w:tc>
          <w:tcPr>
            <w:tcW w:w="941"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3 - Scope</w:t>
            </w:r>
          </w:p>
        </w:tc>
        <w:tc>
          <w:tcPr>
            <w:tcW w:w="900"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3 - Impact</w:t>
            </w:r>
          </w:p>
        </w:tc>
        <w:tc>
          <w:tcPr>
            <w:tcW w:w="990"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4 – Scope</w:t>
            </w:r>
          </w:p>
        </w:tc>
        <w:tc>
          <w:tcPr>
            <w:tcW w:w="1080"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4 - Impact</w:t>
            </w:r>
          </w:p>
        </w:tc>
        <w:tc>
          <w:tcPr>
            <w:tcW w:w="990"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5 - Scope</w:t>
            </w:r>
          </w:p>
        </w:tc>
        <w:tc>
          <w:tcPr>
            <w:tcW w:w="990" w:type="dxa"/>
            <w:tcBorders>
              <w:top w:val="single" w:sz="4" w:space="0" w:color="auto"/>
              <w:left w:val="nil"/>
              <w:bottom w:val="single" w:sz="4"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5 - Impact</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1</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2</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3</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2</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3</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3</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4</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5</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4</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6</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7</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8</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3</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9</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7</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10</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11</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2</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2</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4</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4</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4</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3</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12</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4</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5</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2</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13</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8</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9</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6</w:t>
            </w:r>
          </w:p>
        </w:tc>
      </w:tr>
      <w:tr w:rsidR="00C67FAB" w:rsidRPr="00545C79" w:rsidTr="00C67FAB">
        <w:trPr>
          <w:trHeight w:val="255"/>
        </w:trPr>
        <w:tc>
          <w:tcPr>
            <w:tcW w:w="700" w:type="dxa"/>
            <w:tcBorders>
              <w:top w:val="nil"/>
              <w:left w:val="nil"/>
              <w:bottom w:val="nil"/>
              <w:right w:val="single" w:sz="4" w:space="0" w:color="auto"/>
            </w:tcBorders>
            <w:shd w:val="clear" w:color="auto" w:fill="auto"/>
            <w:vAlign w:val="bottom"/>
            <w:hideMark/>
          </w:tcPr>
          <w:p w:rsidR="00C67FAB" w:rsidRPr="00545C79" w:rsidRDefault="00C67FAB" w:rsidP="00C67FAB">
            <w:pPr>
              <w:spacing w:after="0" w:line="240" w:lineRule="auto"/>
              <w:jc w:val="center"/>
              <w:rPr>
                <w:rFonts w:eastAsia="Times New Roman" w:cstheme="minorHAnsi"/>
                <w:b/>
                <w:bCs/>
                <w:color w:val="000000"/>
                <w:sz w:val="20"/>
                <w:szCs w:val="20"/>
              </w:rPr>
            </w:pPr>
            <w:r w:rsidRPr="00545C79">
              <w:rPr>
                <w:rFonts w:eastAsia="Times New Roman" w:cstheme="minorHAnsi"/>
                <w:b/>
                <w:bCs/>
                <w:color w:val="000000"/>
                <w:sz w:val="20"/>
                <w:szCs w:val="20"/>
              </w:rPr>
              <w:t>14</w:t>
            </w: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r w:rsidRPr="00545C79">
              <w:rPr>
                <w:rFonts w:eastAsia="Times New Roman" w:cstheme="minorHAnsi"/>
                <w:color w:val="000000"/>
                <w:sz w:val="20"/>
                <w:szCs w:val="20"/>
              </w:rPr>
              <w:t>10</w:t>
            </w:r>
          </w:p>
        </w:tc>
      </w:tr>
      <w:tr w:rsidR="00C67FAB" w:rsidRPr="00545C79" w:rsidTr="00C67FAB">
        <w:trPr>
          <w:trHeight w:val="270"/>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right"/>
              <w:rPr>
                <w:rFonts w:eastAsia="Times New Roman" w:cstheme="minorHAnsi"/>
                <w:color w:val="000000"/>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r>
      <w:tr w:rsidR="00C67FAB" w:rsidRPr="00545C79" w:rsidTr="00C67FAB">
        <w:trPr>
          <w:trHeight w:val="255"/>
        </w:trPr>
        <w:tc>
          <w:tcPr>
            <w:tcW w:w="700" w:type="dxa"/>
            <w:tcBorders>
              <w:top w:val="single" w:sz="8" w:space="0" w:color="auto"/>
              <w:left w:val="single" w:sz="8" w:space="0" w:color="auto"/>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Total</w:t>
            </w:r>
          </w:p>
        </w:tc>
        <w:tc>
          <w:tcPr>
            <w:tcW w:w="923"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95</w:t>
            </w:r>
          </w:p>
        </w:tc>
        <w:tc>
          <w:tcPr>
            <w:tcW w:w="946"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94</w:t>
            </w:r>
          </w:p>
        </w:tc>
        <w:tc>
          <w:tcPr>
            <w:tcW w:w="854"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101</w:t>
            </w:r>
          </w:p>
        </w:tc>
        <w:tc>
          <w:tcPr>
            <w:tcW w:w="946"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101</w:t>
            </w:r>
          </w:p>
        </w:tc>
        <w:tc>
          <w:tcPr>
            <w:tcW w:w="941"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104</w:t>
            </w:r>
          </w:p>
        </w:tc>
        <w:tc>
          <w:tcPr>
            <w:tcW w:w="900"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106</w:t>
            </w:r>
          </w:p>
        </w:tc>
        <w:tc>
          <w:tcPr>
            <w:tcW w:w="990"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111</w:t>
            </w:r>
          </w:p>
        </w:tc>
        <w:tc>
          <w:tcPr>
            <w:tcW w:w="1080"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107</w:t>
            </w:r>
          </w:p>
        </w:tc>
        <w:tc>
          <w:tcPr>
            <w:tcW w:w="990"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95</w:t>
            </w:r>
          </w:p>
        </w:tc>
        <w:tc>
          <w:tcPr>
            <w:tcW w:w="990" w:type="dxa"/>
            <w:tcBorders>
              <w:top w:val="single" w:sz="8" w:space="0" w:color="auto"/>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97</w:t>
            </w:r>
          </w:p>
        </w:tc>
      </w:tr>
      <w:tr w:rsidR="00C67FAB" w:rsidRPr="00545C79" w:rsidTr="00C67FAB">
        <w:trPr>
          <w:trHeight w:val="270"/>
        </w:trPr>
        <w:tc>
          <w:tcPr>
            <w:tcW w:w="700" w:type="dxa"/>
            <w:tcBorders>
              <w:top w:val="nil"/>
              <w:left w:val="single" w:sz="8" w:space="0" w:color="auto"/>
              <w:bottom w:val="single" w:sz="8" w:space="0" w:color="auto"/>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sz w:val="20"/>
                <w:szCs w:val="20"/>
              </w:rPr>
            </w:pPr>
            <w:r w:rsidRPr="00545C79">
              <w:rPr>
                <w:rFonts w:eastAsia="Times New Roman" w:cstheme="minorHAnsi"/>
                <w:b/>
                <w:bCs/>
                <w:color w:val="000000"/>
                <w:sz w:val="20"/>
                <w:szCs w:val="20"/>
              </w:rPr>
              <w:t>Ave.</w:t>
            </w:r>
          </w:p>
        </w:tc>
        <w:tc>
          <w:tcPr>
            <w:tcW w:w="923"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6.8</w:t>
            </w:r>
          </w:p>
        </w:tc>
        <w:tc>
          <w:tcPr>
            <w:tcW w:w="946"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6.7</w:t>
            </w:r>
          </w:p>
        </w:tc>
        <w:tc>
          <w:tcPr>
            <w:tcW w:w="854"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7.2</w:t>
            </w:r>
          </w:p>
        </w:tc>
        <w:tc>
          <w:tcPr>
            <w:tcW w:w="946"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7.2</w:t>
            </w:r>
          </w:p>
        </w:tc>
        <w:tc>
          <w:tcPr>
            <w:tcW w:w="941"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7.4</w:t>
            </w:r>
          </w:p>
        </w:tc>
        <w:tc>
          <w:tcPr>
            <w:tcW w:w="900"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7.6</w:t>
            </w:r>
          </w:p>
        </w:tc>
        <w:tc>
          <w:tcPr>
            <w:tcW w:w="990"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7.9</w:t>
            </w:r>
          </w:p>
        </w:tc>
        <w:tc>
          <w:tcPr>
            <w:tcW w:w="1080"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7.6</w:t>
            </w:r>
          </w:p>
        </w:tc>
        <w:tc>
          <w:tcPr>
            <w:tcW w:w="990"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6.8</w:t>
            </w:r>
          </w:p>
        </w:tc>
        <w:tc>
          <w:tcPr>
            <w:tcW w:w="990" w:type="dxa"/>
            <w:tcBorders>
              <w:top w:val="nil"/>
              <w:left w:val="nil"/>
              <w:bottom w:val="single" w:sz="8" w:space="0" w:color="auto"/>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r w:rsidRPr="00545C79">
              <w:rPr>
                <w:rFonts w:eastAsia="Times New Roman" w:cstheme="minorHAnsi"/>
                <w:color w:val="000000"/>
                <w:sz w:val="20"/>
                <w:szCs w:val="20"/>
              </w:rPr>
              <w:t>6.9</w:t>
            </w:r>
          </w:p>
        </w:tc>
      </w:tr>
      <w:tr w:rsidR="00C67FAB" w:rsidRPr="00545C79" w:rsidTr="00C67FAB">
        <w:trPr>
          <w:trHeight w:val="285"/>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r>
      <w:tr w:rsidR="00C67FAB" w:rsidRPr="00545C79" w:rsidTr="00C67FAB">
        <w:trPr>
          <w:trHeight w:val="285"/>
        </w:trPr>
        <w:tc>
          <w:tcPr>
            <w:tcW w:w="2569" w:type="dxa"/>
            <w:gridSpan w:val="3"/>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rPr>
            </w:pPr>
            <w:r w:rsidRPr="00545C79">
              <w:rPr>
                <w:rFonts w:eastAsia="Times New Roman" w:cstheme="minorHAnsi"/>
                <w:b/>
                <w:bCs/>
                <w:color w:val="000000"/>
              </w:rPr>
              <w:t>Ranking Values</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r>
      <w:tr w:rsidR="00C67FAB" w:rsidRPr="00545C79" w:rsidTr="00C67FAB">
        <w:trPr>
          <w:trHeight w:val="285"/>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8930</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10201</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11024</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11877</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9215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r>
      <w:tr w:rsidR="00C67FAB" w:rsidRPr="00545C79" w:rsidTr="00C67FAB">
        <w:trPr>
          <w:trHeight w:val="285"/>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r>
      <w:tr w:rsidR="00C67FAB" w:rsidRPr="00545C79" w:rsidTr="00C67FAB">
        <w:trPr>
          <w:trHeight w:val="285"/>
        </w:trPr>
        <w:tc>
          <w:tcPr>
            <w:tcW w:w="2569" w:type="dxa"/>
            <w:gridSpan w:val="3"/>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rPr>
            </w:pPr>
            <w:r w:rsidRPr="00545C79">
              <w:rPr>
                <w:rFonts w:eastAsia="Times New Roman" w:cstheme="minorHAnsi"/>
                <w:b/>
                <w:bCs/>
                <w:color w:val="000000"/>
              </w:rPr>
              <w:t>Priority Ranking</w:t>
            </w: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sz w:val="20"/>
                <w:szCs w:val="20"/>
              </w:rPr>
            </w:pPr>
          </w:p>
        </w:tc>
      </w:tr>
      <w:tr w:rsidR="00C67FAB" w:rsidRPr="00545C79" w:rsidTr="00C67FAB">
        <w:trPr>
          <w:trHeight w:val="285"/>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6</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r w:rsidRPr="00545C79">
              <w:rPr>
                <w:rFonts w:eastAsia="Times New Roman" w:cstheme="minorHAnsi"/>
                <w:b/>
                <w:bCs/>
                <w:color w:val="000000"/>
                <w:u w:val="single"/>
              </w:rPr>
              <w:t>3*</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r w:rsidRPr="00545C79">
              <w:rPr>
                <w:rFonts w:eastAsia="Times New Roman" w:cstheme="minorHAnsi"/>
                <w:b/>
                <w:bCs/>
                <w:color w:val="000000"/>
                <w:u w:val="single"/>
              </w:rPr>
              <w:t>2*</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r w:rsidRPr="00545C79">
              <w:rPr>
                <w:rFonts w:eastAsia="Times New Roman" w:cstheme="minorHAnsi"/>
                <w:b/>
                <w:bCs/>
                <w:color w:val="000000"/>
                <w:u w:val="single"/>
              </w:rPr>
              <w:t>1*</w:t>
            </w: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r w:rsidRPr="00545C79">
              <w:rPr>
                <w:rFonts w:eastAsia="Times New Roman" w:cstheme="minorHAnsi"/>
                <w:color w:val="000000"/>
              </w:rPr>
              <w:t>5</w:t>
            </w: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color w:val="000000"/>
              </w:rPr>
            </w:pPr>
          </w:p>
        </w:tc>
      </w:tr>
      <w:tr w:rsidR="00C67FAB" w:rsidRPr="00545C79" w:rsidTr="00C67FAB">
        <w:trPr>
          <w:trHeight w:val="285"/>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r>
      <w:tr w:rsidR="00C67FAB" w:rsidRPr="00545C79" w:rsidTr="00C67FAB">
        <w:trPr>
          <w:trHeight w:val="285"/>
        </w:trPr>
        <w:tc>
          <w:tcPr>
            <w:tcW w:w="3423" w:type="dxa"/>
            <w:gridSpan w:val="4"/>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rPr>
            </w:pPr>
            <w:r w:rsidRPr="00545C79">
              <w:rPr>
                <w:rFonts w:eastAsia="Times New Roman" w:cstheme="minorHAnsi"/>
                <w:b/>
                <w:bCs/>
                <w:color w:val="000000"/>
              </w:rPr>
              <w:t>Hospital Survey Ranking</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b/>
                <w:bCs/>
                <w:color w:val="000000"/>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r>
      <w:tr w:rsidR="00C67FAB" w:rsidRPr="00545C79" w:rsidTr="00C67FAB">
        <w:trPr>
          <w:trHeight w:val="285"/>
        </w:trPr>
        <w:tc>
          <w:tcPr>
            <w:tcW w:w="7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23"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r w:rsidRPr="00545C79">
              <w:rPr>
                <w:rFonts w:eastAsia="Times New Roman" w:cstheme="minorHAnsi"/>
                <w:b/>
                <w:bCs/>
                <w:color w:val="000000"/>
                <w:u w:val="single"/>
              </w:rPr>
              <w:t>1</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p>
        </w:tc>
        <w:tc>
          <w:tcPr>
            <w:tcW w:w="854"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r w:rsidRPr="00545C79">
              <w:rPr>
                <w:rFonts w:eastAsia="Times New Roman" w:cstheme="minorHAnsi"/>
                <w:b/>
                <w:bCs/>
                <w:color w:val="000000"/>
                <w:u w:val="single"/>
              </w:rPr>
              <w:t>3</w:t>
            </w:r>
          </w:p>
        </w:tc>
        <w:tc>
          <w:tcPr>
            <w:tcW w:w="946"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p>
        </w:tc>
        <w:tc>
          <w:tcPr>
            <w:tcW w:w="941"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r w:rsidRPr="00545C79">
              <w:rPr>
                <w:rFonts w:eastAsia="Times New Roman" w:cstheme="minorHAnsi"/>
                <w:b/>
                <w:bCs/>
                <w:color w:val="000000"/>
                <w:u w:val="single"/>
              </w:rPr>
              <w:t>2</w:t>
            </w:r>
          </w:p>
        </w:tc>
        <w:tc>
          <w:tcPr>
            <w:tcW w:w="90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jc w:val="center"/>
              <w:rPr>
                <w:rFonts w:eastAsia="Times New Roman" w:cstheme="minorHAnsi"/>
                <w:b/>
                <w:bCs/>
                <w:color w:val="000000"/>
                <w:u w:val="single"/>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c>
          <w:tcPr>
            <w:tcW w:w="990" w:type="dxa"/>
            <w:tcBorders>
              <w:top w:val="nil"/>
              <w:left w:val="nil"/>
              <w:bottom w:val="nil"/>
              <w:right w:val="nil"/>
            </w:tcBorders>
            <w:shd w:val="clear" w:color="auto" w:fill="auto"/>
            <w:noWrap/>
            <w:vAlign w:val="bottom"/>
            <w:hideMark/>
          </w:tcPr>
          <w:p w:rsidR="00C67FAB" w:rsidRPr="00545C79" w:rsidRDefault="00C67FAB" w:rsidP="00C67FAB">
            <w:pPr>
              <w:spacing w:after="0" w:line="240" w:lineRule="auto"/>
              <w:rPr>
                <w:rFonts w:eastAsia="Times New Roman" w:cstheme="minorHAnsi"/>
                <w:sz w:val="20"/>
                <w:szCs w:val="20"/>
              </w:rPr>
            </w:pPr>
          </w:p>
        </w:tc>
      </w:tr>
      <w:tr w:rsidR="00C67FAB" w:rsidRPr="00C67FAB" w:rsidTr="00C67FAB">
        <w:trPr>
          <w:trHeight w:val="285"/>
        </w:trPr>
        <w:tc>
          <w:tcPr>
            <w:tcW w:w="700"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23"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854"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41"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C67FAB" w:rsidRPr="00C67FAB" w:rsidRDefault="00C67FAB" w:rsidP="00C67FAB">
            <w:pPr>
              <w:spacing w:after="0" w:line="240" w:lineRule="auto"/>
              <w:rPr>
                <w:rFonts w:ascii="Times New Roman" w:eastAsia="Times New Roman" w:hAnsi="Times New Roman" w:cs="Times New Roman"/>
                <w:sz w:val="20"/>
                <w:szCs w:val="20"/>
              </w:rPr>
            </w:pPr>
          </w:p>
        </w:tc>
      </w:tr>
    </w:tbl>
    <w:p w:rsidR="00C67FAB" w:rsidRDefault="00C67FAB"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Pr="00FA00C8" w:rsidRDefault="00545C79" w:rsidP="00545C79">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t>Community Health Assessment Feedback Form</w:t>
      </w:r>
    </w:p>
    <w:p w:rsidR="00545C79" w:rsidRDefault="00545C79" w:rsidP="00F35F33">
      <w:pPr>
        <w:rPr>
          <w:rFonts w:ascii="Garamond" w:hAnsi="Garamond"/>
          <w:b/>
          <w:u w:val="single"/>
        </w:rPr>
      </w:pPr>
    </w:p>
    <w:tbl>
      <w:tblPr>
        <w:tblW w:w="8160" w:type="dxa"/>
        <w:tblLook w:val="04A0"/>
      </w:tblPr>
      <w:tblGrid>
        <w:gridCol w:w="1479"/>
        <w:gridCol w:w="2245"/>
        <w:gridCol w:w="2323"/>
        <w:gridCol w:w="222"/>
        <w:gridCol w:w="222"/>
        <w:gridCol w:w="1447"/>
        <w:gridCol w:w="222"/>
      </w:tblGrid>
      <w:tr w:rsidR="00545C79" w:rsidRPr="00545C79" w:rsidTr="00545C79">
        <w:trPr>
          <w:trHeight w:val="285"/>
        </w:trPr>
        <w:tc>
          <w:tcPr>
            <w:tcW w:w="1479"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Cambria" w:eastAsia="Times New Roman" w:hAnsi="Cambria" w:cs="Times New Roman"/>
                <w:b/>
                <w:bCs/>
                <w:color w:val="000000"/>
                <w:sz w:val="32"/>
                <w:szCs w:val="32"/>
                <w:u w:val="single"/>
              </w:rPr>
            </w:pP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1155"/>
        </w:trPr>
        <w:tc>
          <w:tcPr>
            <w:tcW w:w="1479"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45" w:type="dxa"/>
            <w:tcBorders>
              <w:top w:val="single" w:sz="4" w:space="0" w:color="auto"/>
              <w:left w:val="nil"/>
              <w:bottom w:val="single" w:sz="8" w:space="0" w:color="auto"/>
              <w:right w:val="nil"/>
            </w:tcBorders>
            <w:shd w:val="clear" w:color="auto" w:fill="auto"/>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Community Resources for Health Threats</w:t>
            </w:r>
          </w:p>
        </w:tc>
        <w:tc>
          <w:tcPr>
            <w:tcW w:w="2323" w:type="dxa"/>
            <w:tcBorders>
              <w:top w:val="single" w:sz="4" w:space="0" w:color="auto"/>
              <w:left w:val="nil"/>
              <w:bottom w:val="single" w:sz="8" w:space="0" w:color="auto"/>
              <w:right w:val="nil"/>
            </w:tcBorders>
            <w:shd w:val="clear" w:color="auto" w:fill="auto"/>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Willingness to Change Community Views</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1</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color w:val="000000"/>
              </w:rPr>
            </w:pPr>
            <w:r w:rsidRPr="00545C79">
              <w:rPr>
                <w:rFonts w:eastAsia="Times New Roman" w:cstheme="minorHAnsi"/>
                <w:color w:val="000000"/>
              </w:rPr>
              <w:t>2= Very</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Cambria" w:eastAsia="Times New Roman" w:hAnsi="Cambria" w:cs="Times New Roman"/>
                <w:color w:val="00000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2</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color w:val="000000"/>
              </w:rPr>
            </w:pPr>
            <w:r w:rsidRPr="00545C79">
              <w:rPr>
                <w:rFonts w:eastAsia="Times New Roman" w:cstheme="minorHAnsi"/>
                <w:color w:val="000000"/>
              </w:rPr>
              <w:t>1= Some</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Cambria" w:eastAsia="Times New Roman" w:hAnsi="Cambria" w:cs="Times New Roman"/>
                <w:color w:val="00000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3</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2</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669" w:type="dxa"/>
            <w:gridSpan w:val="2"/>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color w:val="000000"/>
              </w:rPr>
            </w:pPr>
            <w:r w:rsidRPr="00545C79">
              <w:rPr>
                <w:rFonts w:eastAsia="Times New Roman" w:cstheme="minorHAnsi"/>
                <w:color w:val="000000"/>
              </w:rPr>
              <w:t>0= Not at All</w:t>
            </w: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4</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2</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5</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2</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6</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7</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2</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single" w:sz="4"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8</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r w:rsidRPr="00545C79">
              <w:rPr>
                <w:rFonts w:eastAsia="Times New Roman" w:cstheme="minorHAnsi"/>
                <w:color w:val="000000"/>
              </w:rPr>
              <w:t>1</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right"/>
              <w:rPr>
                <w:rFonts w:eastAsia="Times New Roman" w:cstheme="minorHAnsi"/>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300"/>
        </w:trPr>
        <w:tc>
          <w:tcPr>
            <w:tcW w:w="1479"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single" w:sz="8" w:space="0" w:color="auto"/>
              <w:left w:val="single" w:sz="8" w:space="0" w:color="auto"/>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b/>
                <w:bCs/>
                <w:color w:val="000000"/>
              </w:rPr>
            </w:pPr>
            <w:r w:rsidRPr="00545C79">
              <w:rPr>
                <w:rFonts w:eastAsia="Times New Roman" w:cstheme="minorHAnsi"/>
                <w:b/>
                <w:bCs/>
                <w:color w:val="000000"/>
              </w:rPr>
              <w:t>Total</w:t>
            </w:r>
          </w:p>
        </w:tc>
        <w:tc>
          <w:tcPr>
            <w:tcW w:w="2245" w:type="dxa"/>
            <w:tcBorders>
              <w:top w:val="single" w:sz="8" w:space="0" w:color="auto"/>
              <w:left w:val="nil"/>
              <w:bottom w:val="nil"/>
              <w:right w:val="nil"/>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11</w:t>
            </w:r>
          </w:p>
        </w:tc>
        <w:tc>
          <w:tcPr>
            <w:tcW w:w="2323" w:type="dxa"/>
            <w:tcBorders>
              <w:top w:val="single" w:sz="8" w:space="0" w:color="auto"/>
              <w:left w:val="nil"/>
              <w:bottom w:val="nil"/>
              <w:right w:val="single" w:sz="8"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9</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single" w:sz="8" w:space="0" w:color="auto"/>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b/>
                <w:bCs/>
                <w:color w:val="000000"/>
              </w:rPr>
            </w:pPr>
            <w:r w:rsidRPr="00545C79">
              <w:rPr>
                <w:rFonts w:eastAsia="Times New Roman" w:cstheme="minorHAnsi"/>
                <w:b/>
                <w:bCs/>
                <w:color w:val="000000"/>
              </w:rPr>
              <w:t> </w:t>
            </w: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b/>
                <w:bCs/>
                <w:color w:val="000000"/>
              </w:rPr>
            </w:pPr>
          </w:p>
        </w:tc>
        <w:tc>
          <w:tcPr>
            <w:tcW w:w="2323" w:type="dxa"/>
            <w:tcBorders>
              <w:top w:val="nil"/>
              <w:left w:val="nil"/>
              <w:bottom w:val="nil"/>
              <w:right w:val="single" w:sz="8"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 </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300"/>
        </w:trPr>
        <w:tc>
          <w:tcPr>
            <w:tcW w:w="1479" w:type="dxa"/>
            <w:tcBorders>
              <w:top w:val="nil"/>
              <w:left w:val="single" w:sz="8" w:space="0" w:color="auto"/>
              <w:bottom w:val="single" w:sz="8" w:space="0" w:color="auto"/>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b/>
                <w:bCs/>
                <w:color w:val="000000"/>
              </w:rPr>
            </w:pPr>
            <w:r w:rsidRPr="00545C79">
              <w:rPr>
                <w:rFonts w:eastAsia="Times New Roman" w:cstheme="minorHAnsi"/>
                <w:b/>
                <w:bCs/>
                <w:color w:val="000000"/>
              </w:rPr>
              <w:t xml:space="preserve">Average </w:t>
            </w:r>
          </w:p>
        </w:tc>
        <w:tc>
          <w:tcPr>
            <w:tcW w:w="2245" w:type="dxa"/>
            <w:tcBorders>
              <w:top w:val="nil"/>
              <w:left w:val="nil"/>
              <w:bottom w:val="single" w:sz="8" w:space="0" w:color="auto"/>
              <w:right w:val="nil"/>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1.38</w:t>
            </w:r>
          </w:p>
        </w:tc>
        <w:tc>
          <w:tcPr>
            <w:tcW w:w="2323" w:type="dxa"/>
            <w:tcBorders>
              <w:top w:val="nil"/>
              <w:left w:val="nil"/>
              <w:bottom w:val="single" w:sz="8" w:space="0" w:color="auto"/>
              <w:right w:val="single" w:sz="8" w:space="0" w:color="auto"/>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r w:rsidRPr="00545C79">
              <w:rPr>
                <w:rFonts w:eastAsia="Times New Roman" w:cstheme="minorHAnsi"/>
                <w:b/>
                <w:bCs/>
                <w:color w:val="000000"/>
              </w:rPr>
              <w:t>1.13</w:t>
            </w: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jc w:val="center"/>
              <w:rPr>
                <w:rFonts w:eastAsia="Times New Roman" w:cstheme="minorHAnsi"/>
                <w:b/>
                <w:bCs/>
                <w:color w:val="00000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r w:rsidR="00545C79" w:rsidRPr="00545C79" w:rsidTr="00545C79">
        <w:trPr>
          <w:trHeight w:val="285"/>
        </w:trPr>
        <w:tc>
          <w:tcPr>
            <w:tcW w:w="1479"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45"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45C79" w:rsidRPr="00545C79" w:rsidRDefault="00545C79" w:rsidP="00545C79">
            <w:pPr>
              <w:spacing w:after="0" w:line="240" w:lineRule="auto"/>
              <w:rPr>
                <w:rFonts w:ascii="Times New Roman" w:eastAsia="Times New Roman" w:hAnsi="Times New Roman" w:cs="Times New Roman"/>
                <w:sz w:val="20"/>
                <w:szCs w:val="20"/>
              </w:rPr>
            </w:pPr>
          </w:p>
        </w:tc>
      </w:tr>
    </w:tbl>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545C79" w:rsidRDefault="00545C79" w:rsidP="00F35F33">
      <w:pPr>
        <w:rPr>
          <w:rFonts w:ascii="Garamond" w:hAnsi="Garamond"/>
          <w:b/>
          <w:u w:val="single"/>
        </w:rPr>
      </w:pPr>
    </w:p>
    <w:p w:rsidR="001B3E82" w:rsidRPr="00FA00C8" w:rsidRDefault="00545C79" w:rsidP="00545C79">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t>Identified Priority Areas</w:t>
      </w:r>
    </w:p>
    <w:p w:rsidR="00545C79" w:rsidRDefault="00545C79" w:rsidP="00F35F33">
      <w:pPr>
        <w:rPr>
          <w:rFonts w:ascii="Garamond" w:hAnsi="Garamond"/>
          <w:b/>
          <w:sz w:val="8"/>
          <w:u w:val="single"/>
        </w:rPr>
      </w:pPr>
    </w:p>
    <w:p w:rsidR="001B3E82" w:rsidRPr="001B3E82" w:rsidRDefault="001B3E82" w:rsidP="001B3E82">
      <w:pPr>
        <w:spacing w:after="160" w:line="256" w:lineRule="auto"/>
        <w:rPr>
          <w:rFonts w:ascii="Calibri" w:eastAsia="Calibri" w:hAnsi="Calibri" w:cs="Times New Roman"/>
          <w:b/>
          <w:color w:val="0070C0"/>
        </w:rPr>
      </w:pPr>
      <w:r w:rsidRPr="001B3E82">
        <w:rPr>
          <w:rFonts w:ascii="Calibri" w:eastAsia="Calibri" w:hAnsi="Calibri" w:cs="Times New Roman"/>
          <w:b/>
          <w:color w:val="0070C0"/>
        </w:rPr>
        <w:t>1.  Physical Activity and Nutrition</w:t>
      </w:r>
    </w:p>
    <w:p w:rsidR="001B3E82" w:rsidRDefault="001B3E82" w:rsidP="003160EC">
      <w:pPr>
        <w:pStyle w:val="ListParagraph"/>
        <w:numPr>
          <w:ilvl w:val="0"/>
          <w:numId w:val="23"/>
        </w:numPr>
        <w:spacing w:after="160" w:line="256" w:lineRule="auto"/>
        <w:ind w:left="720"/>
        <w:rPr>
          <w:rFonts w:ascii="Calibri" w:eastAsia="Calibri" w:hAnsi="Calibri" w:cs="Times New Roman"/>
        </w:rPr>
      </w:pPr>
      <w:r w:rsidRPr="001B3E82">
        <w:rPr>
          <w:rFonts w:ascii="Calibri" w:eastAsia="Calibri" w:hAnsi="Calibri" w:cs="Times New Roman"/>
        </w:rPr>
        <w:t>54% of Valley County households feel they do not have the time, or are too tired, to be physically active.  30% of the respondents said they would be more physically active if there were better access to parks, trails or greenways.</w:t>
      </w:r>
    </w:p>
    <w:p w:rsidR="001B3E82" w:rsidRPr="001B3E82" w:rsidRDefault="001B3E82" w:rsidP="001B3E82">
      <w:pPr>
        <w:pStyle w:val="ListParagraph"/>
        <w:spacing w:after="160" w:line="256" w:lineRule="auto"/>
        <w:ind w:left="1080"/>
        <w:rPr>
          <w:rFonts w:ascii="Calibri" w:eastAsia="Calibri" w:hAnsi="Calibri" w:cs="Times New Roman"/>
        </w:rPr>
      </w:pPr>
    </w:p>
    <w:p w:rsidR="001B3E82" w:rsidRPr="001B3E82" w:rsidRDefault="001B3E82" w:rsidP="001B3E82">
      <w:pPr>
        <w:pStyle w:val="ListParagraph"/>
        <w:numPr>
          <w:ilvl w:val="0"/>
          <w:numId w:val="19"/>
        </w:numPr>
        <w:spacing w:after="160" w:line="256" w:lineRule="auto"/>
        <w:ind w:left="720"/>
        <w:rPr>
          <w:rFonts w:ascii="Calibri" w:eastAsia="Calibri" w:hAnsi="Calibri" w:cs="Times New Roman"/>
        </w:rPr>
      </w:pPr>
      <w:r w:rsidRPr="001B3E82">
        <w:rPr>
          <w:rFonts w:ascii="Calibri" w:eastAsia="Calibri" w:hAnsi="Calibri" w:cs="Times New Roman"/>
        </w:rPr>
        <w:t>19.2% of Valley County household feel they cannot purchase affordable, healthy, food near their home.  Almost 25% of the households responding said it is hard to find healthy choices when you eat outside the home.</w:t>
      </w:r>
    </w:p>
    <w:p w:rsidR="001B3E82" w:rsidRDefault="001B3E82" w:rsidP="001B3E82">
      <w:pPr>
        <w:spacing w:after="160" w:line="256" w:lineRule="auto"/>
        <w:rPr>
          <w:rFonts w:ascii="Calibri" w:eastAsia="Calibri" w:hAnsi="Calibri" w:cs="Times New Roman"/>
        </w:rPr>
      </w:pPr>
    </w:p>
    <w:p w:rsidR="001B3E82" w:rsidRPr="001B3E82" w:rsidRDefault="001B3E82" w:rsidP="001B3E82">
      <w:pPr>
        <w:spacing w:after="160" w:line="256" w:lineRule="auto"/>
        <w:rPr>
          <w:rFonts w:ascii="Calibri" w:eastAsia="Calibri" w:hAnsi="Calibri" w:cs="Times New Roman"/>
          <w:b/>
          <w:color w:val="0070C0"/>
        </w:rPr>
      </w:pPr>
      <w:r w:rsidRPr="001B3E82">
        <w:rPr>
          <w:rFonts w:ascii="Calibri" w:eastAsia="Calibri" w:hAnsi="Calibri" w:cs="Times New Roman"/>
          <w:b/>
          <w:color w:val="0070C0"/>
        </w:rPr>
        <w:t>2.  Mental Health</w:t>
      </w:r>
    </w:p>
    <w:p w:rsidR="001B3E82" w:rsidRPr="001B3E82" w:rsidRDefault="001B3E82" w:rsidP="003160EC">
      <w:pPr>
        <w:pStyle w:val="ListParagraph"/>
        <w:numPr>
          <w:ilvl w:val="0"/>
          <w:numId w:val="24"/>
        </w:numPr>
        <w:spacing w:after="160" w:line="256" w:lineRule="auto"/>
        <w:rPr>
          <w:rFonts w:ascii="Calibri" w:eastAsia="Calibri" w:hAnsi="Calibri" w:cs="Times New Roman"/>
        </w:rPr>
      </w:pPr>
      <w:r w:rsidRPr="001B3E82">
        <w:rPr>
          <w:rFonts w:ascii="Calibri" w:eastAsia="Calibri" w:hAnsi="Calibri" w:cs="Times New Roman"/>
        </w:rPr>
        <w:t xml:space="preserve">8% of Valley County households rate their mental health to be fair or poor.  Respondents say they have an average of 3.2 poor mental health days per month.  Montana’s rate of suicide, 22.3% per 1,000 people nearly doubles the national rate of 12.2%. </w:t>
      </w:r>
    </w:p>
    <w:p w:rsidR="001B3E82" w:rsidRDefault="001B3E82" w:rsidP="001B3E82">
      <w:pPr>
        <w:spacing w:after="160" w:line="256" w:lineRule="auto"/>
        <w:rPr>
          <w:rFonts w:ascii="Calibri" w:eastAsia="Calibri" w:hAnsi="Calibri" w:cs="Times New Roman"/>
        </w:rPr>
      </w:pPr>
    </w:p>
    <w:p w:rsidR="001B3E82" w:rsidRPr="001B3E82" w:rsidRDefault="001B3E82" w:rsidP="001B3E82">
      <w:pPr>
        <w:spacing w:after="160" w:line="256" w:lineRule="auto"/>
        <w:rPr>
          <w:rFonts w:ascii="Calibri" w:eastAsia="Calibri" w:hAnsi="Calibri" w:cs="Times New Roman"/>
          <w:b/>
          <w:color w:val="0070C0"/>
        </w:rPr>
      </w:pPr>
      <w:r w:rsidRPr="001B3E82">
        <w:rPr>
          <w:rFonts w:ascii="Calibri" w:eastAsia="Calibri" w:hAnsi="Calibri" w:cs="Times New Roman"/>
          <w:b/>
          <w:color w:val="0070C0"/>
        </w:rPr>
        <w:t>3.  Prevent Substance Abuse</w:t>
      </w:r>
    </w:p>
    <w:p w:rsidR="001B3E82" w:rsidRDefault="001B3E82" w:rsidP="003160EC">
      <w:pPr>
        <w:pStyle w:val="ListParagraph"/>
        <w:numPr>
          <w:ilvl w:val="0"/>
          <w:numId w:val="25"/>
        </w:numPr>
        <w:spacing w:after="160" w:line="256" w:lineRule="auto"/>
        <w:rPr>
          <w:rFonts w:ascii="Calibri" w:eastAsia="Calibri" w:hAnsi="Calibri" w:cs="Times New Roman"/>
        </w:rPr>
      </w:pPr>
      <w:r w:rsidRPr="001B3E82">
        <w:rPr>
          <w:rFonts w:ascii="Calibri" w:eastAsia="Calibri" w:hAnsi="Calibri" w:cs="Times New Roman"/>
        </w:rPr>
        <w:t>77% of Valley County household’s respondents listed substance abuse as either a problem, or big problem in our community</w:t>
      </w:r>
    </w:p>
    <w:p w:rsidR="001B3E82" w:rsidRPr="001B3E82" w:rsidRDefault="001B3E82" w:rsidP="001B3E82">
      <w:pPr>
        <w:pStyle w:val="ListParagraph"/>
        <w:spacing w:after="160" w:line="256" w:lineRule="auto"/>
        <w:rPr>
          <w:rFonts w:ascii="Calibri" w:eastAsia="Calibri" w:hAnsi="Calibri" w:cs="Times New Roman"/>
        </w:rPr>
      </w:pPr>
    </w:p>
    <w:p w:rsidR="001B3E82" w:rsidRPr="001B3E82" w:rsidRDefault="001B3E82" w:rsidP="003160EC">
      <w:pPr>
        <w:pStyle w:val="ListParagraph"/>
        <w:numPr>
          <w:ilvl w:val="0"/>
          <w:numId w:val="25"/>
        </w:numPr>
        <w:spacing w:after="160" w:line="256" w:lineRule="auto"/>
        <w:rPr>
          <w:rFonts w:ascii="Calibri" w:eastAsia="Calibri" w:hAnsi="Calibri" w:cs="Times New Roman"/>
        </w:rPr>
      </w:pPr>
      <w:r w:rsidRPr="001B3E82">
        <w:rPr>
          <w:rFonts w:ascii="Calibri" w:eastAsia="Calibri" w:hAnsi="Calibri" w:cs="Times New Roman"/>
        </w:rPr>
        <w:t>38% of Valley County youth under the age of 18 have used alcohol in the last 30 days</w:t>
      </w:r>
    </w:p>
    <w:p w:rsidR="001B3E82" w:rsidRPr="001B3E82" w:rsidRDefault="001B3E82" w:rsidP="001B3E82">
      <w:pPr>
        <w:pStyle w:val="ListParagraph"/>
        <w:spacing w:after="160" w:line="256" w:lineRule="auto"/>
        <w:rPr>
          <w:rFonts w:ascii="Calibri" w:eastAsia="Calibri" w:hAnsi="Calibri" w:cs="Times New Roman"/>
        </w:rPr>
      </w:pPr>
    </w:p>
    <w:p w:rsidR="001B3E82" w:rsidRPr="001B3E82" w:rsidRDefault="001B3E82" w:rsidP="003160EC">
      <w:pPr>
        <w:pStyle w:val="ListParagraph"/>
        <w:numPr>
          <w:ilvl w:val="0"/>
          <w:numId w:val="25"/>
        </w:numPr>
        <w:spacing w:after="160" w:line="256" w:lineRule="auto"/>
        <w:rPr>
          <w:rFonts w:ascii="Calibri" w:eastAsia="Calibri" w:hAnsi="Calibri" w:cs="Times New Roman"/>
        </w:rPr>
      </w:pPr>
      <w:r w:rsidRPr="001B3E82">
        <w:rPr>
          <w:rFonts w:ascii="Calibri" w:eastAsia="Calibri" w:hAnsi="Calibri" w:cs="Times New Roman"/>
        </w:rPr>
        <w:t xml:space="preserve">Between 2000 and 2015, 693 deaths in Montana were attributed to prescription opioid poisoning.    </w:t>
      </w:r>
    </w:p>
    <w:p w:rsidR="001B3E82" w:rsidRPr="001B3E82" w:rsidRDefault="001B3E82" w:rsidP="001B3E82">
      <w:pPr>
        <w:spacing w:after="160" w:line="256" w:lineRule="auto"/>
        <w:rPr>
          <w:rFonts w:ascii="Calibri" w:eastAsia="Calibri" w:hAnsi="Calibri" w:cs="Times New Roman"/>
        </w:rPr>
      </w:pPr>
    </w:p>
    <w:p w:rsidR="001B3E82" w:rsidRPr="001B3E82" w:rsidRDefault="001B3E82" w:rsidP="001B3E82">
      <w:pPr>
        <w:spacing w:after="160" w:line="256" w:lineRule="auto"/>
        <w:rPr>
          <w:rFonts w:ascii="Calibri" w:eastAsia="Calibri" w:hAnsi="Calibri" w:cs="Times New Roman"/>
        </w:rPr>
      </w:pPr>
    </w:p>
    <w:p w:rsidR="001B3E82" w:rsidRPr="001B3E82" w:rsidRDefault="001B3E82" w:rsidP="00F35F33">
      <w:pPr>
        <w:rPr>
          <w:rFonts w:cstheme="minorHAnsi"/>
          <w:b/>
          <w:sz w:val="20"/>
          <w:u w:val="single"/>
        </w:rPr>
      </w:pPr>
    </w:p>
    <w:p w:rsidR="00BD5C17" w:rsidRDefault="00BD5C17" w:rsidP="00F35F33">
      <w:pPr>
        <w:rPr>
          <w:rFonts w:ascii="Garamond" w:hAnsi="Garamond"/>
          <w:b/>
          <w:u w:val="single"/>
        </w:rPr>
      </w:pPr>
    </w:p>
    <w:p w:rsidR="00BD5C17" w:rsidRDefault="00BD5C17" w:rsidP="00F35F33">
      <w:pPr>
        <w:rPr>
          <w:rFonts w:ascii="Garamond" w:hAnsi="Garamond"/>
          <w:b/>
          <w:u w:val="single"/>
        </w:rPr>
      </w:pPr>
    </w:p>
    <w:p w:rsidR="00BD5C17" w:rsidRDefault="00BD5C17" w:rsidP="00F35F33">
      <w:pPr>
        <w:rPr>
          <w:rFonts w:ascii="Garamond" w:hAnsi="Garamond"/>
          <w:b/>
          <w:u w:val="single"/>
        </w:rPr>
      </w:pPr>
    </w:p>
    <w:p w:rsidR="00BD5C17" w:rsidRDefault="00BD5C17" w:rsidP="00F35F33">
      <w:pPr>
        <w:rPr>
          <w:rFonts w:ascii="Garamond" w:hAnsi="Garamond"/>
          <w:b/>
          <w:u w:val="single"/>
        </w:rPr>
      </w:pPr>
    </w:p>
    <w:p w:rsidR="00BD5C17" w:rsidRPr="00FA00C8" w:rsidRDefault="00671219" w:rsidP="00BD5C17">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lastRenderedPageBreak/>
        <w:t>Appendix A. Survey</w:t>
      </w:r>
    </w:p>
    <w:p w:rsidR="00BD5C17" w:rsidRPr="001B3E82" w:rsidRDefault="00BD5C17" w:rsidP="00F35F33">
      <w:pPr>
        <w:rPr>
          <w:rFonts w:ascii="Garamond" w:hAnsi="Garamond"/>
          <w:b/>
          <w:sz w:val="8"/>
          <w:u w:val="single"/>
        </w:rPr>
      </w:pPr>
    </w:p>
    <w:p w:rsidR="00671219" w:rsidRDefault="00671219" w:rsidP="00F35F33">
      <w:pPr>
        <w:rPr>
          <w:rFonts w:ascii="Garamond" w:hAnsi="Garamond"/>
          <w:b/>
          <w:u w:val="single"/>
        </w:rPr>
      </w:pPr>
      <w:r>
        <w:rPr>
          <w:noProof/>
        </w:rPr>
        <w:drawing>
          <wp:inline distT="0" distB="0" distL="0" distR="0">
            <wp:extent cx="5210810" cy="671576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veyP1.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810" cy="6715760"/>
                    </a:xfrm>
                    <a:prstGeom prst="rect">
                      <a:avLst/>
                    </a:prstGeom>
                  </pic:spPr>
                </pic:pic>
              </a:graphicData>
            </a:graphic>
          </wp:inline>
        </w:drawing>
      </w: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r>
        <w:rPr>
          <w:noProof/>
        </w:rPr>
        <w:drawing>
          <wp:inline distT="0" distB="0" distL="0" distR="0">
            <wp:extent cx="5106035" cy="670623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eyP2.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6035" cy="6706235"/>
                    </a:xfrm>
                    <a:prstGeom prst="rect">
                      <a:avLst/>
                    </a:prstGeom>
                  </pic:spPr>
                </pic:pic>
              </a:graphicData>
            </a:graphic>
          </wp:inline>
        </w:drawing>
      </w: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r>
        <w:rPr>
          <w:noProof/>
        </w:rPr>
        <w:drawing>
          <wp:inline distT="0" distB="0" distL="0" distR="0">
            <wp:extent cx="5106035" cy="67157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eyP3.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6035" cy="6715760"/>
                    </a:xfrm>
                    <a:prstGeom prst="rect">
                      <a:avLst/>
                    </a:prstGeom>
                  </pic:spPr>
                </pic:pic>
              </a:graphicData>
            </a:graphic>
          </wp:inline>
        </w:drawing>
      </w: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p>
    <w:p w:rsidR="00671219" w:rsidRDefault="00671219" w:rsidP="00F35F33">
      <w:pPr>
        <w:rPr>
          <w:rFonts w:ascii="Garamond" w:hAnsi="Garamond"/>
          <w:b/>
          <w:u w:val="single"/>
        </w:rPr>
      </w:pPr>
      <w:r>
        <w:rPr>
          <w:noProof/>
        </w:rPr>
        <w:drawing>
          <wp:inline distT="0" distB="0" distL="0" distR="0">
            <wp:extent cx="5134610" cy="668718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eyP4.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4610" cy="6687185"/>
                    </a:xfrm>
                    <a:prstGeom prst="rect">
                      <a:avLst/>
                    </a:prstGeom>
                  </pic:spPr>
                </pic:pic>
              </a:graphicData>
            </a:graphic>
          </wp:inline>
        </w:drawing>
      </w:r>
    </w:p>
    <w:p w:rsidR="00671219" w:rsidRDefault="00671219" w:rsidP="00F35F33">
      <w:pPr>
        <w:rPr>
          <w:rFonts w:ascii="Garamond" w:hAnsi="Garamond"/>
          <w:b/>
          <w:u w:val="single"/>
        </w:rPr>
      </w:pPr>
    </w:p>
    <w:p w:rsidR="00FF4697" w:rsidRDefault="00FF4697" w:rsidP="00671219">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p>
    <w:p w:rsidR="00671219" w:rsidRPr="00FA00C8" w:rsidRDefault="00671219" w:rsidP="00671219">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lastRenderedPageBreak/>
        <w:t>Appendix B. Volunteer Evaluation</w:t>
      </w:r>
    </w:p>
    <w:p w:rsidR="00671219" w:rsidRPr="001B3E82" w:rsidRDefault="00671219" w:rsidP="00F35F33">
      <w:pPr>
        <w:rPr>
          <w:rFonts w:ascii="Garamond" w:hAnsi="Garamond"/>
          <w:b/>
          <w:sz w:val="8"/>
          <w:u w:val="single"/>
        </w:rPr>
      </w:pPr>
    </w:p>
    <w:p w:rsidR="00A55AA8" w:rsidRPr="00A55AA8" w:rsidRDefault="00A55AA8" w:rsidP="00A55AA8">
      <w:pPr>
        <w:numPr>
          <w:ilvl w:val="0"/>
          <w:numId w:val="17"/>
        </w:numPr>
        <w:autoSpaceDE w:val="0"/>
        <w:autoSpaceDN w:val="0"/>
        <w:adjustRightInd w:val="0"/>
        <w:spacing w:after="676" w:line="240" w:lineRule="auto"/>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In your opinion, what went well? What did not go well?</w:t>
      </w:r>
    </w:p>
    <w:p w:rsidR="00A55AA8" w:rsidRPr="00A55AA8" w:rsidRDefault="00A55AA8" w:rsidP="00A55AA8">
      <w:pPr>
        <w:numPr>
          <w:ilvl w:val="0"/>
          <w:numId w:val="17"/>
        </w:numPr>
        <w:autoSpaceDE w:val="0"/>
        <w:autoSpaceDN w:val="0"/>
        <w:adjustRightInd w:val="0"/>
        <w:spacing w:after="676" w:line="240" w:lineRule="auto"/>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To what extent do you think this assessment will be useful to your community in learning about the health of the county? </w:t>
      </w:r>
    </w:p>
    <w:p w:rsidR="00A55AA8" w:rsidRPr="00A55AA8" w:rsidRDefault="00A55AA8" w:rsidP="00A55AA8">
      <w:pPr>
        <w:numPr>
          <w:ilvl w:val="0"/>
          <w:numId w:val="17"/>
        </w:numPr>
        <w:autoSpaceDE w:val="0"/>
        <w:autoSpaceDN w:val="0"/>
        <w:adjustRightInd w:val="0"/>
        <w:spacing w:after="676" w:line="240" w:lineRule="auto"/>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Did you think you were prepared (e.g., training, food, safety, communications, supplies) for your assignment? </w:t>
      </w:r>
    </w:p>
    <w:p w:rsidR="00A55AA8" w:rsidRPr="00A55AA8" w:rsidRDefault="00A55AA8" w:rsidP="00A55AA8">
      <w:pPr>
        <w:numPr>
          <w:ilvl w:val="0"/>
          <w:numId w:val="17"/>
        </w:numPr>
        <w:autoSpaceDE w:val="0"/>
        <w:autoSpaceDN w:val="0"/>
        <w:adjustRightInd w:val="0"/>
        <w:spacing w:after="676" w:line="240" w:lineRule="auto"/>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Would you want to participate on a team in the future? </w:t>
      </w:r>
    </w:p>
    <w:p w:rsidR="00A55AA8" w:rsidRPr="00A55AA8" w:rsidRDefault="00A55AA8" w:rsidP="00A55AA8">
      <w:pPr>
        <w:autoSpaceDE w:val="0"/>
        <w:autoSpaceDN w:val="0"/>
        <w:adjustRightInd w:val="0"/>
        <w:spacing w:after="676" w:line="240" w:lineRule="auto"/>
        <w:ind w:left="36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5. If we were to do this assessment again, what improvements can be made? </w:t>
      </w:r>
    </w:p>
    <w:p w:rsidR="00A55AA8" w:rsidRPr="00A55AA8" w:rsidRDefault="00A55AA8" w:rsidP="00A55AA8">
      <w:pPr>
        <w:autoSpaceDE w:val="0"/>
        <w:autoSpaceDN w:val="0"/>
        <w:adjustRightInd w:val="0"/>
        <w:spacing w:after="0" w:line="240" w:lineRule="auto"/>
        <w:ind w:left="36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6. Did you learn anything from this experience? </w:t>
      </w:r>
    </w:p>
    <w:p w:rsidR="00A55AA8" w:rsidRPr="00A55AA8" w:rsidRDefault="00A55AA8" w:rsidP="00A55AA8">
      <w:pPr>
        <w:autoSpaceDE w:val="0"/>
        <w:autoSpaceDN w:val="0"/>
        <w:adjustRightInd w:val="0"/>
        <w:spacing w:after="0" w:line="240" w:lineRule="auto"/>
        <w:ind w:left="360" w:hanging="360"/>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0"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0" w:line="240" w:lineRule="auto"/>
        <w:ind w:left="36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7. Were there specific situations that you encountered that you want to tell us about relating to: </w:t>
      </w: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a. Orientation of field teams? </w:t>
      </w:r>
    </w:p>
    <w:p w:rsidR="00A55AA8" w:rsidRPr="00A55AA8" w:rsidRDefault="00A55AA8" w:rsidP="00A55AA8">
      <w:pPr>
        <w:autoSpaceDE w:val="0"/>
        <w:autoSpaceDN w:val="0"/>
        <w:adjustRightInd w:val="0"/>
        <w:spacing w:after="2"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b. Assessment methods? </w:t>
      </w:r>
    </w:p>
    <w:p w:rsidR="00A55AA8" w:rsidRPr="00A55AA8" w:rsidRDefault="00A55AA8" w:rsidP="00A55AA8">
      <w:pPr>
        <w:autoSpaceDE w:val="0"/>
        <w:autoSpaceDN w:val="0"/>
        <w:adjustRightInd w:val="0"/>
        <w:spacing w:after="2"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c. Questionnaire/survey? </w:t>
      </w:r>
    </w:p>
    <w:p w:rsidR="00A55AA8" w:rsidRPr="00A55AA8" w:rsidRDefault="00A55AA8" w:rsidP="00A55AA8">
      <w:pPr>
        <w:autoSpaceDE w:val="0"/>
        <w:autoSpaceDN w:val="0"/>
        <w:adjustRightInd w:val="0"/>
        <w:spacing w:after="2"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d. Supplies and equipment? </w:t>
      </w:r>
    </w:p>
    <w:p w:rsidR="00A55AA8" w:rsidRPr="00A55AA8" w:rsidRDefault="00A55AA8" w:rsidP="00A55AA8">
      <w:pPr>
        <w:autoSpaceDE w:val="0"/>
        <w:autoSpaceDN w:val="0"/>
        <w:adjustRightInd w:val="0"/>
        <w:spacing w:after="2"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e. Food? </w:t>
      </w:r>
    </w:p>
    <w:p w:rsidR="00A55AA8" w:rsidRPr="00A55AA8" w:rsidRDefault="00A55AA8" w:rsidP="00A55AA8">
      <w:pPr>
        <w:autoSpaceDE w:val="0"/>
        <w:autoSpaceDN w:val="0"/>
        <w:adjustRightInd w:val="0"/>
        <w:spacing w:after="2"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f. Safety? </w:t>
      </w:r>
    </w:p>
    <w:p w:rsidR="00A55AA8" w:rsidRPr="00A55AA8" w:rsidRDefault="00A55AA8" w:rsidP="00A55AA8">
      <w:pPr>
        <w:autoSpaceDE w:val="0"/>
        <w:autoSpaceDN w:val="0"/>
        <w:adjustRightInd w:val="0"/>
        <w:spacing w:after="2" w:line="240" w:lineRule="auto"/>
        <w:ind w:firstLine="360"/>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2"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g. Communications? </w:t>
      </w:r>
    </w:p>
    <w:p w:rsidR="00A55AA8" w:rsidRPr="00A55AA8" w:rsidRDefault="00A55AA8" w:rsidP="00A55AA8">
      <w:pPr>
        <w:autoSpaceDE w:val="0"/>
        <w:autoSpaceDN w:val="0"/>
        <w:adjustRightInd w:val="0"/>
        <w:spacing w:after="2" w:line="240" w:lineRule="auto"/>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0" w:line="240" w:lineRule="auto"/>
        <w:ind w:firstLine="72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h. Transportation? </w:t>
      </w:r>
    </w:p>
    <w:p w:rsidR="00A55AA8" w:rsidRPr="00A55AA8" w:rsidRDefault="00A55AA8" w:rsidP="00A55AA8">
      <w:pPr>
        <w:autoSpaceDE w:val="0"/>
        <w:autoSpaceDN w:val="0"/>
        <w:adjustRightInd w:val="0"/>
        <w:spacing w:after="0" w:line="240" w:lineRule="auto"/>
        <w:ind w:firstLine="360"/>
        <w:rPr>
          <w:rFonts w:ascii="LIPPD K+ Calibri" w:eastAsiaTheme="minorHAnsi" w:hAnsi="LIPPD K+ Calibri" w:cs="LIPPD K+ Calibri"/>
          <w:color w:val="000000"/>
          <w:sz w:val="23"/>
          <w:szCs w:val="23"/>
        </w:rPr>
      </w:pPr>
    </w:p>
    <w:p w:rsidR="00A55AA8" w:rsidRPr="00A55AA8" w:rsidRDefault="00A55AA8" w:rsidP="00A55AA8">
      <w:pPr>
        <w:autoSpaceDE w:val="0"/>
        <w:autoSpaceDN w:val="0"/>
        <w:adjustRightInd w:val="0"/>
        <w:spacing w:after="0" w:line="240" w:lineRule="auto"/>
        <w:ind w:left="360"/>
        <w:rPr>
          <w:rFonts w:ascii="LIPPD K+ Calibri" w:eastAsiaTheme="minorHAnsi" w:hAnsi="LIPPD K+ Calibri" w:cs="LIPPD K+ Calibri"/>
          <w:color w:val="000000"/>
          <w:sz w:val="23"/>
          <w:szCs w:val="23"/>
        </w:rPr>
      </w:pPr>
      <w:r w:rsidRPr="00A55AA8">
        <w:rPr>
          <w:rFonts w:ascii="LIPPD K+ Calibri" w:eastAsiaTheme="minorHAnsi" w:hAnsi="LIPPD K+ Calibri" w:cs="LIPPD K+ Calibri"/>
          <w:color w:val="000000"/>
          <w:sz w:val="23"/>
          <w:szCs w:val="23"/>
        </w:rPr>
        <w:t xml:space="preserve">8. Please provide any additional comments. </w:t>
      </w:r>
    </w:p>
    <w:p w:rsidR="00A55AA8" w:rsidRPr="00A55AA8" w:rsidRDefault="00A55AA8" w:rsidP="00A55AA8">
      <w:pPr>
        <w:autoSpaceDE w:val="0"/>
        <w:autoSpaceDN w:val="0"/>
        <w:adjustRightInd w:val="0"/>
        <w:spacing w:after="0" w:line="240" w:lineRule="auto"/>
        <w:rPr>
          <w:rFonts w:ascii="LIPPD K+ Calibri" w:eastAsiaTheme="minorHAnsi" w:hAnsi="LIPPD K+ Calibri" w:cs="LIPPD K+ Calibri"/>
          <w:color w:val="000000"/>
          <w:sz w:val="23"/>
          <w:szCs w:val="23"/>
        </w:rPr>
      </w:pPr>
    </w:p>
    <w:p w:rsidR="00A55AA8" w:rsidRPr="00A55AA8" w:rsidRDefault="00A55AA8" w:rsidP="00F35F33">
      <w:pPr>
        <w:rPr>
          <w:b/>
        </w:rPr>
      </w:pPr>
      <w:r w:rsidRPr="00A55AA8">
        <w:rPr>
          <w:rFonts w:ascii="LIPOH M+ Calibri" w:hAnsi="LIPOH M+ Calibri" w:cs="LIPOH M+ Calibri"/>
          <w:b/>
          <w:bCs/>
          <w:sz w:val="23"/>
          <w:szCs w:val="23"/>
        </w:rPr>
        <w:t>THANK YOU FOR YOUR SERVICE TO YOUR COMMUNITY</w:t>
      </w:r>
    </w:p>
    <w:sectPr w:rsidR="00A55AA8" w:rsidRPr="00A55AA8" w:rsidSect="004161BE">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810" w:right="1800" w:bottom="1440" w:left="1800" w:header="720" w:footer="288" w:gutter="0"/>
      <w:pgNumType w:start="2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7AE" w:rsidRPr="00C67FAB" w:rsidRDefault="00A567AE" w:rsidP="00C67FAB">
      <w:pPr>
        <w:pStyle w:val="Footer"/>
      </w:pPr>
    </w:p>
  </w:endnote>
  <w:endnote w:type="continuationSeparator" w:id="1">
    <w:p w:rsidR="00A567AE" w:rsidRDefault="00A567AE">
      <w:r>
        <w:continuationSeparator/>
      </w:r>
    </w:p>
  </w:endnote>
  <w:endnote w:id="2">
    <w:p w:rsidR="001D42A1" w:rsidRPr="001D42A1" w:rsidRDefault="001D42A1" w:rsidP="001D42A1">
      <w:pPr>
        <w:pBdr>
          <w:bottom w:val="single" w:sz="8" w:space="4" w:color="DDDDDD" w:themeColor="accent1"/>
        </w:pBdr>
        <w:spacing w:after="300" w:line="240" w:lineRule="auto"/>
        <w:contextualSpacing/>
        <w:rPr>
          <w:rFonts w:asciiTheme="majorHAnsi" w:eastAsiaTheme="majorEastAsia" w:hAnsiTheme="majorHAnsi" w:cstheme="majorBidi"/>
          <w:bCs/>
          <w:color w:val="000000" w:themeColor="text2" w:themeShade="BF"/>
          <w:spacing w:val="5"/>
          <w:kern w:val="28"/>
          <w:sz w:val="52"/>
          <w:szCs w:val="26"/>
        </w:rPr>
      </w:pPr>
      <w:r>
        <w:rPr>
          <w:rFonts w:asciiTheme="majorHAnsi" w:eastAsiaTheme="majorEastAsia" w:hAnsiTheme="majorHAnsi" w:cstheme="majorBidi"/>
          <w:bCs/>
          <w:color w:val="000000" w:themeColor="text2" w:themeShade="BF"/>
          <w:spacing w:val="5"/>
          <w:kern w:val="28"/>
          <w:sz w:val="52"/>
          <w:szCs w:val="26"/>
        </w:rPr>
        <w:t>References</w:t>
      </w:r>
    </w:p>
    <w:p w:rsidR="001D42A1" w:rsidRDefault="001D42A1">
      <w:pPr>
        <w:pStyle w:val="EndnoteText"/>
      </w:pPr>
      <w:r>
        <w:rPr>
          <w:rStyle w:val="EndnoteReference"/>
        </w:rPr>
        <w:endnoteRef/>
      </w:r>
      <w:r w:rsidRPr="00F83559">
        <w:rPr>
          <w:sz w:val="18"/>
        </w:rPr>
        <w:t xml:space="preserve"> http://quickfacts.census.gov/qfd/states/30/30105.html</w:t>
      </w:r>
    </w:p>
  </w:endnote>
  <w:endnote w:id="3">
    <w:p w:rsidR="00F83559" w:rsidRDefault="00F83559">
      <w:pPr>
        <w:pStyle w:val="EndnoteText"/>
      </w:pPr>
      <w:r>
        <w:rPr>
          <w:rStyle w:val="EndnoteReference"/>
        </w:rPr>
        <w:endnoteRef/>
      </w:r>
      <w:r>
        <w:t xml:space="preserve"> </w:t>
      </w:r>
      <w:r w:rsidRPr="00F83559">
        <w:rPr>
          <w:sz w:val="18"/>
        </w:rPr>
        <w:t>http://dphhs.mt.gov/publichealth/BRFSS/Annual-Reports/2014AnnualReport</w:t>
      </w:r>
    </w:p>
  </w:endnote>
  <w:endnote w:id="4">
    <w:p w:rsidR="00F83559" w:rsidRDefault="00F83559">
      <w:pPr>
        <w:pStyle w:val="EndnoteText"/>
      </w:pPr>
      <w:r>
        <w:rPr>
          <w:rStyle w:val="EndnoteReference"/>
        </w:rPr>
        <w:endnoteRef/>
      </w:r>
      <w:r w:rsidRPr="00F83559">
        <w:rPr>
          <w:sz w:val="18"/>
        </w:rPr>
        <w:t>http://www.countyhealthrankings.org/app/montana/2015/rankings/valley/county/outcomes/overall/snapsh</w:t>
      </w:r>
      <w:r w:rsidRPr="00F83559">
        <w:t>ot</w:t>
      </w:r>
    </w:p>
  </w:endnote>
  <w:endnote w:id="5">
    <w:p w:rsidR="00F83559" w:rsidRDefault="00F83559">
      <w:pPr>
        <w:pStyle w:val="EndnoteText"/>
      </w:pPr>
      <w:r>
        <w:rPr>
          <w:rStyle w:val="EndnoteReference"/>
        </w:rPr>
        <w:endnoteRef/>
      </w:r>
      <w:r w:rsidRPr="00F83559">
        <w:rPr>
          <w:sz w:val="18"/>
        </w:rPr>
        <w:t>http://dphhs.mt.gov/Portals/85/publichealth/Publications/County%20Health%20Profiles/Valley%20Community%20Health%20Profile.pdf</w:t>
      </w:r>
    </w:p>
  </w:endnote>
  <w:endnote w:id="6">
    <w:p w:rsidR="00F83559" w:rsidRDefault="00F83559">
      <w:pPr>
        <w:pStyle w:val="EndnoteText"/>
      </w:pPr>
      <w:r>
        <w:rPr>
          <w:rStyle w:val="EndnoteReference"/>
        </w:rPr>
        <w:endnoteRef/>
      </w:r>
      <w:r w:rsidRPr="00F83559">
        <w:rPr>
          <w:sz w:val="18"/>
        </w:rPr>
        <w:t>http://dphhs.mt.gov/publichealth/Epidemiology/OESS-CHD</w:t>
      </w:r>
    </w:p>
  </w:endnote>
  <w:endnote w:id="7">
    <w:p w:rsidR="00F83559" w:rsidRDefault="00F83559">
      <w:pPr>
        <w:pStyle w:val="EndnoteText"/>
      </w:pPr>
      <w:r>
        <w:rPr>
          <w:rStyle w:val="EndnoteReference"/>
        </w:rPr>
        <w:endnoteRef/>
      </w:r>
      <w:r w:rsidRPr="00F83559">
        <w:rPr>
          <w:sz w:val="18"/>
        </w:rPr>
        <w:t>http://www.fmdh.org/fil_files/35.pdf</w:t>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PPD K+ Calibri">
    <w:altName w:val="Calibri"/>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IPOH M+ Calibr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109705"/>
      <w:docPartObj>
        <w:docPartGallery w:val="Page Numbers (Bottom of Page)"/>
        <w:docPartUnique/>
      </w:docPartObj>
    </w:sdtPr>
    <w:sdtEndPr>
      <w:rPr>
        <w:noProof/>
      </w:rPr>
    </w:sdtEndPr>
    <w:sdtContent>
      <w:p w:rsidR="004161BE" w:rsidRDefault="00284C67">
        <w:pPr>
          <w:pStyle w:val="Footer"/>
          <w:jc w:val="right"/>
        </w:pPr>
        <w:r>
          <w:fldChar w:fldCharType="begin"/>
        </w:r>
        <w:r w:rsidR="004161BE">
          <w:instrText xml:space="preserve"> PAGE   \* MERGEFORMAT </w:instrText>
        </w:r>
        <w:r>
          <w:fldChar w:fldCharType="separate"/>
        </w:r>
        <w:r w:rsidR="00DA43A8">
          <w:rPr>
            <w:noProof/>
          </w:rPr>
          <w:t>20</w:t>
        </w:r>
        <w:r>
          <w:rPr>
            <w:noProof/>
          </w:rPr>
          <w:fldChar w:fldCharType="end"/>
        </w:r>
      </w:p>
    </w:sdtContent>
  </w:sdt>
  <w:p w:rsidR="00C67FAB" w:rsidRDefault="00C67F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AB" w:rsidRDefault="00C67FAB">
    <w:pPr>
      <w:pStyle w:val="Footer"/>
    </w:pPr>
    <w:r>
      <w:rPr>
        <w:rFonts w:asciiTheme="majorHAnsi" w:eastAsiaTheme="majorEastAsia" w:hAnsiTheme="majorHAnsi" w:cstheme="majorBidi"/>
      </w:rPr>
      <w:t>[Type text]</w:t>
    </w:r>
    <w:r w:rsidR="00284C67">
      <w:rPr>
        <w:rFonts w:asciiTheme="majorHAnsi" w:eastAsiaTheme="majorEastAsia" w:hAnsiTheme="majorHAnsi" w:cstheme="majorBidi"/>
      </w:rPr>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84C67" w:rsidRPr="00284C67">
      <w:fldChar w:fldCharType="begin"/>
    </w:r>
    <w:r>
      <w:instrText xml:space="preserve"> PAGE   \* MERGEFORMAT </w:instrText>
    </w:r>
    <w:r w:rsidR="00284C67" w:rsidRPr="00284C67">
      <w:fldChar w:fldCharType="separate"/>
    </w:r>
    <w:r w:rsidRPr="005C0F56">
      <w:rPr>
        <w:rFonts w:asciiTheme="majorHAnsi" w:eastAsiaTheme="majorEastAsia" w:hAnsiTheme="majorHAnsi" w:cstheme="majorBidi"/>
        <w:noProof/>
      </w:rPr>
      <w:t>4</w:t>
    </w:r>
    <w:r w:rsidR="00284C67">
      <w:rPr>
        <w:rFonts w:asciiTheme="majorHAnsi" w:eastAsiaTheme="majorEastAsia" w:hAnsiTheme="majorHAnsi" w:cstheme="majorBidi"/>
        <w:noProof/>
      </w:rPr>
      <w:fldChar w:fldCharType="end"/>
    </w:r>
    <w:r w:rsidR="00284C67">
      <w:rPr>
        <w:noProof/>
      </w:rPr>
      <w:pict>
        <v:group id="Group 441" o:spid="_x0000_s10243" style="position:absolute;margin-left:0;margin-top:0;width:610.8pt;height:64.8pt;flip:y;z-index:25165260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45"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44"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sidR="00284C67">
      <w:rPr>
        <w:noProof/>
      </w:rPr>
      <w:pict>
        <v:rect id="Rectangle 444" o:spid="_x0000_s10242" style="position:absolute;margin-left:0;margin-top:0;width:7.15pt;height:64.8pt;z-index:251654656;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5f5f5f [3208]" strokecolor="#ddd [3204]">
          <w10:wrap anchorx="margin" anchory="page"/>
        </v:rect>
      </w:pict>
    </w:r>
    <w:r w:rsidR="00284C67">
      <w:rPr>
        <w:noProof/>
      </w:rPr>
      <w:pict>
        <v:rect id="Rectangle 445" o:spid="_x0000_s10241" style="position:absolute;margin-left:0;margin-top:0;width:7.2pt;height:64.8pt;z-index:251653632;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5f5f5f [3208]" strokecolor="#ddd [3204]">
          <w10:wrap anchorx="margin"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1BE" w:rsidRDefault="00284C67">
    <w:pPr>
      <w:pStyle w:val="Footer"/>
      <w:jc w:val="right"/>
    </w:pPr>
    <w:r>
      <w:fldChar w:fldCharType="begin"/>
    </w:r>
    <w:r w:rsidR="004161BE">
      <w:instrText xml:space="preserve"> PAGE   \* MERGEFORMAT </w:instrText>
    </w:r>
    <w:r>
      <w:fldChar w:fldCharType="separate"/>
    </w:r>
    <w:r w:rsidR="00DA43A8">
      <w:rPr>
        <w:noProof/>
      </w:rPr>
      <w:t>30</w:t>
    </w:r>
    <w:r>
      <w:rPr>
        <w:noProof/>
      </w:rPr>
      <w:fldChar w:fldCharType="end"/>
    </w:r>
    <w:r>
      <w:rPr>
        <w:noProof/>
      </w:rPr>
    </w:r>
  </w:p>
  <w:p w:rsidR="004161BE" w:rsidRDefault="004161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AB" w:rsidRDefault="00C67F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7AE" w:rsidRDefault="00A567AE">
      <w:r>
        <w:separator/>
      </w:r>
    </w:p>
  </w:footnote>
  <w:footnote w:type="continuationSeparator" w:id="1">
    <w:p w:rsidR="00A567AE" w:rsidRDefault="00A567AE">
      <w:r>
        <w:separator/>
      </w:r>
    </w:p>
  </w:footnote>
  <w:footnote w:type="continuationNotice" w:id="2">
    <w:p w:rsidR="00A567AE" w:rsidRDefault="00A567AE">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AB" w:rsidRDefault="00C67FAB">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C67FAB" w:rsidRDefault="00284C67">
    <w:pPr>
      <w:pStyle w:val="Header"/>
    </w:pPr>
    <w:r w:rsidRPr="00284C67">
      <w:rPr>
        <w:rFonts w:asciiTheme="majorHAnsi" w:eastAsiaTheme="majorEastAsia" w:hAnsiTheme="majorHAnsi" w:cstheme="majorBidi"/>
        <w:noProof/>
      </w:rPr>
      <w:pict>
        <v:group id="Group 468" o:spid="_x0000_s10248" style="position:absolute;margin-left:0;margin-top:0;width:791.15pt;height:1in;z-index:25165772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50"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49"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Pr="00284C67">
      <w:rPr>
        <w:rFonts w:asciiTheme="majorHAnsi" w:eastAsiaTheme="majorEastAsia" w:hAnsiTheme="majorHAnsi" w:cstheme="majorBidi"/>
        <w:noProof/>
      </w:rPr>
      <w:pict>
        <v:rect id="Rectangle 471" o:spid="_x0000_s10247" style="position:absolute;margin-left:0;margin-top:0;width:7.15pt;height:64.8pt;z-index:251656704;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5f5f5f [3208]" strokecolor="#ddd [3204]">
          <w10:wrap anchorx="margin" anchory="page"/>
        </v:rect>
      </w:pict>
    </w:r>
    <w:r w:rsidRPr="00284C67">
      <w:rPr>
        <w:rFonts w:asciiTheme="majorHAnsi" w:eastAsiaTheme="majorEastAsia" w:hAnsiTheme="majorHAnsi" w:cstheme="majorBidi"/>
        <w:noProof/>
      </w:rPr>
      <w:pict>
        <v:rect id="Rectangle 472" o:spid="_x0000_s10246" style="position:absolute;margin-left:0;margin-top:0;width:7.15pt;height:64.8pt;z-index:251655680;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5f5f5f [3208]" strokecolor="#ddd [3204]">
          <w10:wrap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AB" w:rsidRDefault="00C67FA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AB" w:rsidRDefault="00C67F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ListBullet"/>
      <w:lvlText w:val="*"/>
      <w:lvlJc w:val="left"/>
    </w:lvl>
  </w:abstractNum>
  <w:abstractNum w:abstractNumId="1">
    <w:nsid w:val="05B654A0"/>
    <w:multiLevelType w:val="hybridMultilevel"/>
    <w:tmpl w:val="7988E35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544EE8"/>
    <w:multiLevelType w:val="multilevel"/>
    <w:tmpl w:val="BBFC49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C3942"/>
    <w:multiLevelType w:val="singleLevel"/>
    <w:tmpl w:val="C8727A20"/>
    <w:lvl w:ilvl="0">
      <w:start w:val="1"/>
      <w:numFmt w:val="decimal"/>
      <w:lvlText w:val="%1)"/>
      <w:legacy w:legacy="1" w:legacySpace="0" w:legacyIndent="360"/>
      <w:lvlJc w:val="left"/>
      <w:pPr>
        <w:ind w:left="720" w:hanging="360"/>
      </w:pPr>
    </w:lvl>
  </w:abstractNum>
  <w:abstractNum w:abstractNumId="4">
    <w:nsid w:val="13D168CD"/>
    <w:multiLevelType w:val="hybridMultilevel"/>
    <w:tmpl w:val="99A61D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E75992"/>
    <w:multiLevelType w:val="hybridMultilevel"/>
    <w:tmpl w:val="8F3EB470"/>
    <w:lvl w:ilvl="0" w:tplc="C8A61B90">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3E5F8F"/>
    <w:multiLevelType w:val="hybridMultilevel"/>
    <w:tmpl w:val="7B3AC9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A231FF"/>
    <w:multiLevelType w:val="hybridMultilevel"/>
    <w:tmpl w:val="BD6A03B8"/>
    <w:lvl w:ilvl="0" w:tplc="1D42E524">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C629B3"/>
    <w:multiLevelType w:val="singleLevel"/>
    <w:tmpl w:val="C8727A20"/>
    <w:lvl w:ilvl="0">
      <w:start w:val="1"/>
      <w:numFmt w:val="decimal"/>
      <w:lvlText w:val="%1)"/>
      <w:legacy w:legacy="1" w:legacySpace="0" w:legacyIndent="360"/>
      <w:lvlJc w:val="left"/>
      <w:pPr>
        <w:ind w:left="720" w:hanging="360"/>
      </w:pPr>
    </w:lvl>
  </w:abstractNum>
  <w:abstractNum w:abstractNumId="13">
    <w:nsid w:val="6141586A"/>
    <w:multiLevelType w:val="hybridMultilevel"/>
    <w:tmpl w:val="4B347AF0"/>
    <w:lvl w:ilvl="0" w:tplc="04090011">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4">
    <w:nsid w:val="65176015"/>
    <w:multiLevelType w:val="hybridMultilevel"/>
    <w:tmpl w:val="9A6CB88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86199A"/>
    <w:multiLevelType w:val="hybridMultilevel"/>
    <w:tmpl w:val="B6EADA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30565B0"/>
    <w:multiLevelType w:val="hybridMultilevel"/>
    <w:tmpl w:val="D3F0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6F2279"/>
    <w:multiLevelType w:val="hybridMultilevel"/>
    <w:tmpl w:val="5680BE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701595"/>
    <w:multiLevelType w:val="hybridMultilevel"/>
    <w:tmpl w:val="FFB6B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2918F5"/>
    <w:multiLevelType w:val="hybridMultilevel"/>
    <w:tmpl w:val="E2F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42114E"/>
    <w:multiLevelType w:val="hybridMultilevel"/>
    <w:tmpl w:val="6BA0782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2"/>
  </w:num>
  <w:num w:numId="4">
    <w:abstractNumId w:val="16"/>
  </w:num>
  <w:num w:numId="5">
    <w:abstractNumId w:val="5"/>
  </w:num>
  <w:num w:numId="6">
    <w:abstractNumId w:val="5"/>
    <w:lvlOverride w:ilvl="0">
      <w:startOverride w:val="1"/>
    </w:lvlOverride>
  </w:num>
  <w:num w:numId="7">
    <w:abstractNumId w:val="10"/>
  </w:num>
  <w:num w:numId="8">
    <w:abstractNumId w:val="23"/>
  </w:num>
  <w:num w:numId="9">
    <w:abstractNumId w:val="22"/>
  </w:num>
  <w:num w:numId="10">
    <w:abstractNumId w:val="8"/>
  </w:num>
  <w:num w:numId="11">
    <w:abstractNumId w:val="7"/>
  </w:num>
  <w:num w:numId="12">
    <w:abstractNumId w:val="18"/>
  </w:num>
  <w:num w:numId="13">
    <w:abstractNumId w:val="6"/>
  </w:num>
  <w:num w:numId="14">
    <w:abstractNumId w:val="21"/>
  </w:num>
  <w:num w:numId="15">
    <w:abstractNumId w:val="15"/>
  </w:num>
  <w:num w:numId="16">
    <w:abstractNumId w:val="13"/>
  </w:num>
  <w:num w:numId="17">
    <w:abstractNumId w:val="19"/>
  </w:num>
  <w:num w:numId="18">
    <w:abstractNumId w:val="11"/>
  </w:num>
  <w:num w:numId="19">
    <w:abstractNumId w:val="14"/>
  </w:num>
  <w:num w:numId="20">
    <w:abstractNumId w:val="2"/>
  </w:num>
  <w:num w:numId="21">
    <w:abstractNumId w:val="17"/>
  </w:num>
  <w:num w:numId="22">
    <w:abstractNumId w:val="20"/>
  </w:num>
  <w:num w:numId="23">
    <w:abstractNumId w:val="1"/>
  </w:num>
  <w:num w:numId="24">
    <w:abstractNumId w:val="4"/>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DisplayPageBoundaries/>
  <w:displayBackgroundShape/>
  <w:embedSystemFonts/>
  <w:attachedTemplate r:id="rId1"/>
  <w:stylePaneFormatFilter w:val="3F01"/>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11266"/>
    <o:shapelayout v:ext="edit">
      <o:idmap v:ext="edit" data="10"/>
      <o:rules v:ext="edit">
        <o:r id="V:Rule1" type="connector" idref="#AutoShape 4"/>
        <o:r id="V:Rule2" type="connector" idref="#AutoShape 4"/>
      </o:rules>
    </o:shapelayout>
  </w:hdrShapeDefaults>
  <w:footnotePr>
    <w:footnote w:id="0"/>
    <w:footnote w:id="1"/>
    <w:footnote w:id="2"/>
  </w:footnotePr>
  <w:endnotePr>
    <w:endnote w:id="0"/>
    <w:endnote w:id="1"/>
  </w:endnotePr>
  <w:compat>
    <w:useFELayout/>
  </w:compat>
  <w:rsids>
    <w:rsidRoot w:val="00C74E47"/>
    <w:rsid w:val="00010E4E"/>
    <w:rsid w:val="0002023A"/>
    <w:rsid w:val="00030266"/>
    <w:rsid w:val="00033F9B"/>
    <w:rsid w:val="000439B3"/>
    <w:rsid w:val="00055B8B"/>
    <w:rsid w:val="000666A1"/>
    <w:rsid w:val="000725FB"/>
    <w:rsid w:val="00092630"/>
    <w:rsid w:val="000942A0"/>
    <w:rsid w:val="000B4DA0"/>
    <w:rsid w:val="000B5830"/>
    <w:rsid w:val="000D03C3"/>
    <w:rsid w:val="000E1F82"/>
    <w:rsid w:val="000E7ED1"/>
    <w:rsid w:val="000F34D4"/>
    <w:rsid w:val="0010043F"/>
    <w:rsid w:val="00104418"/>
    <w:rsid w:val="0012056D"/>
    <w:rsid w:val="00125087"/>
    <w:rsid w:val="001272DA"/>
    <w:rsid w:val="00134186"/>
    <w:rsid w:val="001406A1"/>
    <w:rsid w:val="00145853"/>
    <w:rsid w:val="00146DFC"/>
    <w:rsid w:val="00150680"/>
    <w:rsid w:val="0017488E"/>
    <w:rsid w:val="0017501D"/>
    <w:rsid w:val="00175076"/>
    <w:rsid w:val="00194E91"/>
    <w:rsid w:val="001B3E82"/>
    <w:rsid w:val="001B540A"/>
    <w:rsid w:val="001C163F"/>
    <w:rsid w:val="001C66BB"/>
    <w:rsid w:val="001D42A1"/>
    <w:rsid w:val="001D78F1"/>
    <w:rsid w:val="001E0899"/>
    <w:rsid w:val="001F0375"/>
    <w:rsid w:val="001F2273"/>
    <w:rsid w:val="00202B20"/>
    <w:rsid w:val="00241A05"/>
    <w:rsid w:val="00262704"/>
    <w:rsid w:val="00267F18"/>
    <w:rsid w:val="00270565"/>
    <w:rsid w:val="00277F6C"/>
    <w:rsid w:val="00284C67"/>
    <w:rsid w:val="00292CE8"/>
    <w:rsid w:val="002961E5"/>
    <w:rsid w:val="00297EB8"/>
    <w:rsid w:val="002A07CB"/>
    <w:rsid w:val="002B01D2"/>
    <w:rsid w:val="002B6863"/>
    <w:rsid w:val="002C5511"/>
    <w:rsid w:val="002D2D4B"/>
    <w:rsid w:val="002E1DA3"/>
    <w:rsid w:val="002E496F"/>
    <w:rsid w:val="002F116B"/>
    <w:rsid w:val="002F7178"/>
    <w:rsid w:val="003004F4"/>
    <w:rsid w:val="00315A7E"/>
    <w:rsid w:val="003160EC"/>
    <w:rsid w:val="00327DBE"/>
    <w:rsid w:val="00357489"/>
    <w:rsid w:val="0036070A"/>
    <w:rsid w:val="00370CB5"/>
    <w:rsid w:val="0037530E"/>
    <w:rsid w:val="00380380"/>
    <w:rsid w:val="00383A3E"/>
    <w:rsid w:val="00384345"/>
    <w:rsid w:val="003A2CAB"/>
    <w:rsid w:val="003A6B93"/>
    <w:rsid w:val="003A746B"/>
    <w:rsid w:val="003B0161"/>
    <w:rsid w:val="003B0921"/>
    <w:rsid w:val="003B3DD2"/>
    <w:rsid w:val="003B620C"/>
    <w:rsid w:val="003C158A"/>
    <w:rsid w:val="003C6F82"/>
    <w:rsid w:val="003F54D1"/>
    <w:rsid w:val="00412356"/>
    <w:rsid w:val="00413E8B"/>
    <w:rsid w:val="004161BE"/>
    <w:rsid w:val="004201A2"/>
    <w:rsid w:val="00422AC5"/>
    <w:rsid w:val="00430647"/>
    <w:rsid w:val="00456F66"/>
    <w:rsid w:val="004864FA"/>
    <w:rsid w:val="004A51BD"/>
    <w:rsid w:val="004C1499"/>
    <w:rsid w:val="004C6F35"/>
    <w:rsid w:val="004D6BEC"/>
    <w:rsid w:val="004E798E"/>
    <w:rsid w:val="00501C18"/>
    <w:rsid w:val="005140FB"/>
    <w:rsid w:val="00515EC0"/>
    <w:rsid w:val="00521FF5"/>
    <w:rsid w:val="005346C4"/>
    <w:rsid w:val="00545C79"/>
    <w:rsid w:val="0054794E"/>
    <w:rsid w:val="00555F4F"/>
    <w:rsid w:val="00570E86"/>
    <w:rsid w:val="00576707"/>
    <w:rsid w:val="0059507E"/>
    <w:rsid w:val="00595795"/>
    <w:rsid w:val="005A7659"/>
    <w:rsid w:val="005A796F"/>
    <w:rsid w:val="005B1900"/>
    <w:rsid w:val="005C0307"/>
    <w:rsid w:val="005C0F56"/>
    <w:rsid w:val="005C30BC"/>
    <w:rsid w:val="005E6AF1"/>
    <w:rsid w:val="005F3B8D"/>
    <w:rsid w:val="006358FA"/>
    <w:rsid w:val="006424C3"/>
    <w:rsid w:val="00660DF0"/>
    <w:rsid w:val="00667555"/>
    <w:rsid w:val="00671219"/>
    <w:rsid w:val="00674851"/>
    <w:rsid w:val="00676E29"/>
    <w:rsid w:val="00683EEA"/>
    <w:rsid w:val="00697ACE"/>
    <w:rsid w:val="006B7F76"/>
    <w:rsid w:val="006E6EA6"/>
    <w:rsid w:val="00721855"/>
    <w:rsid w:val="007306AC"/>
    <w:rsid w:val="00782CAA"/>
    <w:rsid w:val="00785966"/>
    <w:rsid w:val="007A50F0"/>
    <w:rsid w:val="007B6EE0"/>
    <w:rsid w:val="007D206A"/>
    <w:rsid w:val="007D7972"/>
    <w:rsid w:val="007F516C"/>
    <w:rsid w:val="00816CE9"/>
    <w:rsid w:val="00863BF5"/>
    <w:rsid w:val="00864C94"/>
    <w:rsid w:val="0086654F"/>
    <w:rsid w:val="008B3901"/>
    <w:rsid w:val="008F002B"/>
    <w:rsid w:val="008F786E"/>
    <w:rsid w:val="00906098"/>
    <w:rsid w:val="0090784B"/>
    <w:rsid w:val="009213D9"/>
    <w:rsid w:val="009345C5"/>
    <w:rsid w:val="00947424"/>
    <w:rsid w:val="009661CF"/>
    <w:rsid w:val="009821D6"/>
    <w:rsid w:val="009A119B"/>
    <w:rsid w:val="009A5464"/>
    <w:rsid w:val="009A5FD6"/>
    <w:rsid w:val="009B24DE"/>
    <w:rsid w:val="009C18F9"/>
    <w:rsid w:val="009F54F4"/>
    <w:rsid w:val="009F69CB"/>
    <w:rsid w:val="00A10AC3"/>
    <w:rsid w:val="00A140E5"/>
    <w:rsid w:val="00A35CBE"/>
    <w:rsid w:val="00A36474"/>
    <w:rsid w:val="00A40E95"/>
    <w:rsid w:val="00A4322B"/>
    <w:rsid w:val="00A55AA8"/>
    <w:rsid w:val="00A55DB6"/>
    <w:rsid w:val="00A567AE"/>
    <w:rsid w:val="00A65BA0"/>
    <w:rsid w:val="00A7380B"/>
    <w:rsid w:val="00A87939"/>
    <w:rsid w:val="00AA79C8"/>
    <w:rsid w:val="00AB1821"/>
    <w:rsid w:val="00AC2FE3"/>
    <w:rsid w:val="00AD13DC"/>
    <w:rsid w:val="00AD5346"/>
    <w:rsid w:val="00AF3B41"/>
    <w:rsid w:val="00B22C35"/>
    <w:rsid w:val="00B64864"/>
    <w:rsid w:val="00B72078"/>
    <w:rsid w:val="00BB434C"/>
    <w:rsid w:val="00BD1779"/>
    <w:rsid w:val="00BD5C17"/>
    <w:rsid w:val="00C16DAE"/>
    <w:rsid w:val="00C260C9"/>
    <w:rsid w:val="00C355F4"/>
    <w:rsid w:val="00C368AF"/>
    <w:rsid w:val="00C41631"/>
    <w:rsid w:val="00C622AE"/>
    <w:rsid w:val="00C67FAB"/>
    <w:rsid w:val="00C74E47"/>
    <w:rsid w:val="00C833C2"/>
    <w:rsid w:val="00C83E24"/>
    <w:rsid w:val="00CB11F0"/>
    <w:rsid w:val="00CC4033"/>
    <w:rsid w:val="00CD12EE"/>
    <w:rsid w:val="00CD5B14"/>
    <w:rsid w:val="00D0270E"/>
    <w:rsid w:val="00D13740"/>
    <w:rsid w:val="00D23FBB"/>
    <w:rsid w:val="00D2451E"/>
    <w:rsid w:val="00D830D5"/>
    <w:rsid w:val="00D8452B"/>
    <w:rsid w:val="00DA43A8"/>
    <w:rsid w:val="00DC4ECF"/>
    <w:rsid w:val="00DD21A4"/>
    <w:rsid w:val="00DF4F87"/>
    <w:rsid w:val="00DF690B"/>
    <w:rsid w:val="00E1253E"/>
    <w:rsid w:val="00E22497"/>
    <w:rsid w:val="00E40017"/>
    <w:rsid w:val="00E52A9C"/>
    <w:rsid w:val="00E54EF8"/>
    <w:rsid w:val="00E557CF"/>
    <w:rsid w:val="00E64298"/>
    <w:rsid w:val="00E81496"/>
    <w:rsid w:val="00E85620"/>
    <w:rsid w:val="00E91A9C"/>
    <w:rsid w:val="00E920A6"/>
    <w:rsid w:val="00EE2471"/>
    <w:rsid w:val="00EF3E04"/>
    <w:rsid w:val="00F01721"/>
    <w:rsid w:val="00F07E5B"/>
    <w:rsid w:val="00F24647"/>
    <w:rsid w:val="00F35F33"/>
    <w:rsid w:val="00F36644"/>
    <w:rsid w:val="00F37233"/>
    <w:rsid w:val="00F532AE"/>
    <w:rsid w:val="00F61C9E"/>
    <w:rsid w:val="00F65732"/>
    <w:rsid w:val="00F67691"/>
    <w:rsid w:val="00F67986"/>
    <w:rsid w:val="00F73288"/>
    <w:rsid w:val="00F75EA4"/>
    <w:rsid w:val="00F76B30"/>
    <w:rsid w:val="00F82C06"/>
    <w:rsid w:val="00F83559"/>
    <w:rsid w:val="00FA00C8"/>
    <w:rsid w:val="00FD1F96"/>
    <w:rsid w:val="00FD58A6"/>
    <w:rsid w:val="00FE795F"/>
    <w:rsid w:val="00FF034B"/>
    <w:rsid w:val="00FF46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C79"/>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AB1821"/>
    <w:pPr>
      <w:keepNext/>
      <w:keepLines/>
      <w:spacing w:before="200" w:after="0"/>
      <w:outlineLvl w:val="1"/>
    </w:pPr>
    <w:rPr>
      <w:rFonts w:asciiTheme="majorHAnsi" w:eastAsiaTheme="majorEastAsia" w:hAnsiTheme="majorHAnsi" w:cstheme="majorBidi"/>
      <w:bCs/>
      <w:sz w:val="52"/>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84C67"/>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284C6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DDDDD" w:themeColor="accent1"/>
      <w:sz w:val="18"/>
      <w:szCs w:val="18"/>
    </w:rPr>
  </w:style>
  <w:style w:type="character" w:styleId="EndnoteReference">
    <w:name w:val="endnote reference"/>
    <w:uiPriority w:val="99"/>
    <w:semiHidden/>
    <w:rsid w:val="00284C67"/>
    <w:rPr>
      <w:vertAlign w:val="superscript"/>
    </w:rPr>
  </w:style>
  <w:style w:type="paragraph" w:styleId="EndnoteText">
    <w:name w:val="endnote text"/>
    <w:basedOn w:val="Normal"/>
    <w:link w:val="EndnoteTextChar"/>
    <w:uiPriority w:val="99"/>
    <w:semiHidden/>
    <w:rsid w:val="00AD13DC"/>
  </w:style>
  <w:style w:type="character" w:styleId="FootnoteReference">
    <w:name w:val="footnote reference"/>
    <w:semiHidden/>
    <w:rsid w:val="00284C67"/>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284C67"/>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284C67"/>
    <w:pPr>
      <w:spacing w:line="240" w:lineRule="auto"/>
      <w:jc w:val="left"/>
    </w:pPr>
    <w:rPr>
      <w:rFonts w:ascii="Courier New" w:hAnsi="Courier New"/>
    </w:rPr>
  </w:style>
  <w:style w:type="character" w:styleId="PageNumber">
    <w:name w:val="page number"/>
    <w:rsid w:val="00284C67"/>
    <w:rPr>
      <w:sz w:val="24"/>
    </w:rPr>
  </w:style>
  <w:style w:type="paragraph" w:customStyle="1" w:styleId="SubtitleCover">
    <w:name w:val="Subtitle Cover"/>
    <w:basedOn w:val="TitleCover"/>
    <w:next w:val="BodyText"/>
    <w:rsid w:val="00284C6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semiHidden/>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DDDDD" w:themeColor="accent1"/>
      <w:spacing w:val="15"/>
      <w:sz w:val="24"/>
      <w:szCs w:val="24"/>
    </w:rPr>
  </w:style>
  <w:style w:type="paragraph" w:styleId="Title">
    <w:name w:val="Title"/>
    <w:basedOn w:val="Normal"/>
    <w:next w:val="Normal"/>
    <w:link w:val="TitleChar"/>
    <w:uiPriority w:val="1"/>
    <w:qFormat/>
    <w:rsid w:val="0017501D"/>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284C67"/>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284C67"/>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284C67"/>
    <w:pPr>
      <w:tabs>
        <w:tab w:val="right" w:leader="dot" w:pos="7560"/>
      </w:tabs>
    </w:pPr>
  </w:style>
  <w:style w:type="paragraph" w:styleId="TOAHeading">
    <w:name w:val="toa heading"/>
    <w:basedOn w:val="Normal"/>
    <w:next w:val="TableofAuthorities"/>
    <w:semiHidden/>
    <w:rsid w:val="00284C67"/>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uiPriority w:val="99"/>
    <w:rsid w:val="00AF3B41"/>
    <w:rPr>
      <w:rFonts w:ascii="Tahoma" w:hAnsi="Tahoma" w:cs="Tahoma"/>
      <w:sz w:val="16"/>
      <w:szCs w:val="16"/>
    </w:rPr>
  </w:style>
  <w:style w:type="character" w:customStyle="1" w:styleId="BalloonTextChar">
    <w:name w:val="Balloon Text Char"/>
    <w:basedOn w:val="DefaultParagraphFont"/>
    <w:link w:val="BalloonText"/>
    <w:uiPriority w:val="99"/>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rsid w:val="00AB1821"/>
    <w:rPr>
      <w:rFonts w:asciiTheme="majorHAnsi" w:eastAsiaTheme="majorEastAsia" w:hAnsiTheme="majorHAnsi" w:cstheme="majorBidi"/>
      <w:bCs/>
      <w:sz w:val="52"/>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DDDDD"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
    <w:rsid w:val="0017501D"/>
    <w:rPr>
      <w:rFonts w:asciiTheme="majorHAnsi" w:eastAsiaTheme="majorEastAsia" w:hAnsiTheme="majorHAnsi" w:cstheme="majorBidi"/>
      <w:color w:val="000000"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DDDDD"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17501D"/>
    <w:rPr>
      <w:b/>
      <w:bCs/>
      <w:i/>
      <w:iCs/>
      <w:color w:val="DDDDDD"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DDDDD" w:themeColor="accent1"/>
    </w:rPr>
  </w:style>
  <w:style w:type="character" w:styleId="SubtleReference">
    <w:name w:val="Subtle Reference"/>
    <w:basedOn w:val="DefaultParagraphFont"/>
    <w:uiPriority w:val="31"/>
    <w:qFormat/>
    <w:rsid w:val="0017501D"/>
    <w:rPr>
      <w:smallCaps/>
      <w:color w:val="B2B2B2" w:themeColor="accent2"/>
      <w:u w:val="single"/>
    </w:rPr>
  </w:style>
  <w:style w:type="character" w:styleId="IntenseReference">
    <w:name w:val="Intense Reference"/>
    <w:basedOn w:val="DefaultParagraphFont"/>
    <w:uiPriority w:val="32"/>
    <w:qFormat/>
    <w:rsid w:val="0017501D"/>
    <w:rPr>
      <w:b/>
      <w:bCs/>
      <w:smallCaps/>
      <w:color w:val="B2B2B2"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5F5F5F"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59"/>
    <w:rsid w:val="001341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4186"/>
    <w:pPr>
      <w:autoSpaceDE w:val="0"/>
      <w:autoSpaceDN w:val="0"/>
      <w:adjustRightInd w:val="0"/>
      <w:spacing w:after="0" w:line="240" w:lineRule="auto"/>
    </w:pPr>
    <w:rPr>
      <w:rFonts w:ascii="LIPPD K+ Calibri" w:eastAsiaTheme="minorHAnsi" w:hAnsi="LIPPD K+ Calibri" w:cs="LIPPD K+ Calibri"/>
      <w:color w:val="000000"/>
      <w:sz w:val="24"/>
      <w:szCs w:val="24"/>
    </w:rPr>
  </w:style>
  <w:style w:type="character" w:customStyle="1" w:styleId="EndnoteTextChar">
    <w:name w:val="Endnote Text Char"/>
    <w:basedOn w:val="DefaultParagraphFont"/>
    <w:link w:val="EndnoteText"/>
    <w:uiPriority w:val="99"/>
    <w:semiHidden/>
    <w:rsid w:val="00F35F33"/>
  </w:style>
</w:styles>
</file>

<file path=word/webSettings.xml><?xml version="1.0" encoding="utf-8"?>
<w:webSettings xmlns:r="http://schemas.openxmlformats.org/officeDocument/2006/relationships" xmlns:w="http://schemas.openxmlformats.org/wordprocessingml/2006/main">
  <w:divs>
    <w:div w:id="283657257">
      <w:bodyDiv w:val="1"/>
      <w:marLeft w:val="0"/>
      <w:marRight w:val="0"/>
      <w:marTop w:val="0"/>
      <w:marBottom w:val="0"/>
      <w:divBdr>
        <w:top w:val="none" w:sz="0" w:space="0" w:color="auto"/>
        <w:left w:val="none" w:sz="0" w:space="0" w:color="auto"/>
        <w:bottom w:val="none" w:sz="0" w:space="0" w:color="auto"/>
        <w:right w:val="none" w:sz="0" w:space="0" w:color="auto"/>
      </w:divBdr>
    </w:div>
    <w:div w:id="72229138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74393934">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cms.gov/medicare-coverage-database/staticpages/icd-9-code-lookup.aspx" TargetMode="External"/><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uwphi.pophealth.wisc.edu/" TargetMode="Externa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rwjf.org/" TargetMode="External"/><Relationship Id="rId23" Type="http://schemas.openxmlformats.org/officeDocument/2006/relationships/footer" Target="footer1.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1385\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quity">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VALLEY COUNTY COMMUNITY HEALTH NEEDS ASSESSMENT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68FDE8-6DC9-4EE8-B369-0364CA83470F}">
  <ds:schemaRefs>
    <ds:schemaRef ds:uri="http://schemas.openxmlformats.org/officeDocument/2006/bibliography"/>
  </ds:schemaRefs>
</ds:datastoreItem>
</file>

<file path=customXml/itemProps3.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31</Pages>
  <Words>5164</Words>
  <Characters>29440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2017-03-08T23:41:00Z</dcterms:created>
  <dcterms:modified xsi:type="dcterms:W3CDTF">2017-03-08T23:41:00Z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